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2C9C" w14:textId="7E95FE96" w:rsidR="005C1E09" w:rsidRPr="007D61A7" w:rsidRDefault="00971C5B" w:rsidP="00D17C07">
      <w:pPr>
        <w:pStyle w:val="Heading2"/>
        <w:spacing w:line="360" w:lineRule="auto"/>
        <w:rPr>
          <w:rFonts w:ascii="Palatino Linotype" w:hAnsi="Palatino Linotype"/>
          <w:sz w:val="28"/>
          <w:szCs w:val="28"/>
        </w:rPr>
      </w:pPr>
      <w:r>
        <w:rPr>
          <w:rFonts w:ascii="Palatino Linotype" w:hAnsi="Palatino Linotype"/>
          <w:sz w:val="28"/>
          <w:szCs w:val="28"/>
        </w:rPr>
        <w:t xml:space="preserve">Ethics and </w:t>
      </w:r>
      <w:r w:rsidR="00F64231" w:rsidRPr="007D61A7">
        <w:rPr>
          <w:rFonts w:ascii="Palatino Linotype" w:hAnsi="Palatino Linotype"/>
          <w:sz w:val="28"/>
          <w:szCs w:val="28"/>
        </w:rPr>
        <w:t>net zero healthcar</w:t>
      </w:r>
      <w:r w:rsidR="002C5D51" w:rsidRPr="007D61A7">
        <w:rPr>
          <w:rFonts w:ascii="Palatino Linotype" w:hAnsi="Palatino Linotype"/>
          <w:sz w:val="28"/>
          <w:szCs w:val="28"/>
        </w:rPr>
        <w:t>e</w:t>
      </w:r>
    </w:p>
    <w:p w14:paraId="7B45D697" w14:textId="439E2E6A" w:rsidR="00A93BA4" w:rsidRPr="007D61A7" w:rsidRDefault="00A93BA4" w:rsidP="00D17C07">
      <w:pPr>
        <w:spacing w:after="0" w:line="360" w:lineRule="auto"/>
        <w:rPr>
          <w:rFonts w:ascii="Palatino Linotype" w:hAnsi="Palatino Linotype"/>
          <w:i/>
          <w:iCs/>
          <w:sz w:val="21"/>
          <w:szCs w:val="21"/>
        </w:rPr>
      </w:pPr>
      <w:r w:rsidRPr="007D61A7">
        <w:rPr>
          <w:rFonts w:ascii="Palatino Linotype" w:hAnsi="Palatino Linotype"/>
          <w:i/>
          <w:iCs/>
          <w:sz w:val="21"/>
          <w:szCs w:val="21"/>
        </w:rPr>
        <w:t>Anand Bhopal, background paper</w:t>
      </w:r>
      <w:r w:rsidR="007D61A7">
        <w:rPr>
          <w:rFonts w:ascii="Palatino Linotype" w:hAnsi="Palatino Linotype"/>
          <w:i/>
          <w:iCs/>
          <w:sz w:val="21"/>
          <w:szCs w:val="21"/>
        </w:rPr>
        <w:t xml:space="preserve">: </w:t>
      </w:r>
      <w:r w:rsidRPr="007D61A7">
        <w:rPr>
          <w:rFonts w:ascii="Palatino Linotype" w:hAnsi="Palatino Linotype"/>
          <w:i/>
          <w:iCs/>
          <w:sz w:val="21"/>
          <w:szCs w:val="21"/>
        </w:rPr>
        <w:t>PS 1.1 "Climate Injustice: Ethics, Distributions, Fairness, and Justice"</w:t>
      </w:r>
    </w:p>
    <w:p w14:paraId="45C33B7E" w14:textId="668BB724" w:rsidR="007E44E6" w:rsidRPr="007D61A7" w:rsidRDefault="00B7420B" w:rsidP="00D17C07">
      <w:pPr>
        <w:spacing w:before="100" w:beforeAutospacing="1" w:after="100" w:afterAutospacing="1" w:line="360" w:lineRule="auto"/>
        <w:rPr>
          <w:rFonts w:ascii="Palatino Linotype" w:eastAsia="Times New Roman" w:hAnsi="Palatino Linotype" w:cs="Times New Roman"/>
          <w:color w:val="000000"/>
          <w:kern w:val="36"/>
          <w:sz w:val="21"/>
          <w:szCs w:val="21"/>
          <w:lang w:eastAsia="nb-NO"/>
        </w:rPr>
      </w:pPr>
      <w:r w:rsidRPr="007D61A7">
        <w:rPr>
          <w:rFonts w:ascii="Palatino Linotype" w:eastAsia="Times New Roman" w:hAnsi="Palatino Linotype" w:cs="Times New Roman"/>
          <w:color w:val="000000"/>
          <w:kern w:val="36"/>
          <w:sz w:val="21"/>
          <w:szCs w:val="21"/>
          <w:lang w:eastAsia="nb-NO"/>
        </w:rPr>
        <w:t xml:space="preserve">Climate change is a </w:t>
      </w:r>
      <w:r w:rsidR="00C620C0" w:rsidRPr="007D61A7">
        <w:rPr>
          <w:rFonts w:ascii="Palatino Linotype" w:eastAsia="Times New Roman" w:hAnsi="Palatino Linotype" w:cs="Times New Roman"/>
          <w:color w:val="000000"/>
          <w:kern w:val="36"/>
          <w:sz w:val="21"/>
          <w:szCs w:val="21"/>
          <w:lang w:eastAsia="nb-NO"/>
        </w:rPr>
        <w:t xml:space="preserve">major </w:t>
      </w:r>
      <w:r w:rsidRPr="007D61A7">
        <w:rPr>
          <w:rFonts w:ascii="Palatino Linotype" w:eastAsia="Times New Roman" w:hAnsi="Palatino Linotype" w:cs="Times New Roman"/>
          <w:color w:val="000000"/>
          <w:kern w:val="36"/>
          <w:sz w:val="21"/>
          <w:szCs w:val="21"/>
          <w:lang w:eastAsia="nb-NO"/>
        </w:rPr>
        <w:t>threat to health, health services and poverty alleviation</w:t>
      </w:r>
      <w:r w:rsidR="00C620C0" w:rsidRPr="007D61A7">
        <w:rPr>
          <w:rFonts w:ascii="Palatino Linotype" w:eastAsia="Times New Roman" w:hAnsi="Palatino Linotype" w:cs="Times New Roman"/>
          <w:color w:val="000000"/>
          <w:kern w:val="36"/>
          <w:sz w:val="21"/>
          <w:szCs w:val="21"/>
          <w:lang w:eastAsia="nb-NO"/>
        </w:rPr>
        <w:t>, h</w:t>
      </w:r>
      <w:r w:rsidR="00333307" w:rsidRPr="007D61A7">
        <w:rPr>
          <w:rFonts w:ascii="Palatino Linotype" w:eastAsia="Times New Roman" w:hAnsi="Palatino Linotype" w:cs="Times New Roman"/>
          <w:color w:val="000000"/>
          <w:kern w:val="36"/>
          <w:sz w:val="21"/>
          <w:szCs w:val="21"/>
          <w:lang w:eastAsia="nb-NO"/>
        </w:rPr>
        <w:t xml:space="preserve">owever, healthcare </w:t>
      </w:r>
      <w:r w:rsidR="002641A2" w:rsidRPr="007D61A7">
        <w:rPr>
          <w:rFonts w:ascii="Palatino Linotype" w:eastAsia="Times New Roman" w:hAnsi="Palatino Linotype" w:cs="Times New Roman"/>
          <w:color w:val="000000"/>
          <w:kern w:val="36"/>
          <w:sz w:val="21"/>
          <w:szCs w:val="21"/>
          <w:lang w:eastAsia="nb-NO"/>
        </w:rPr>
        <w:t xml:space="preserve">is </w:t>
      </w:r>
      <w:r w:rsidR="00C620C0" w:rsidRPr="007D61A7">
        <w:rPr>
          <w:rFonts w:ascii="Palatino Linotype" w:eastAsia="Times New Roman" w:hAnsi="Palatino Linotype" w:cs="Times New Roman"/>
          <w:color w:val="000000"/>
          <w:kern w:val="36"/>
          <w:sz w:val="21"/>
          <w:szCs w:val="21"/>
          <w:lang w:eastAsia="nb-NO"/>
        </w:rPr>
        <w:t>also r</w:t>
      </w:r>
      <w:r w:rsidR="004901AC" w:rsidRPr="007D61A7">
        <w:rPr>
          <w:rFonts w:ascii="Palatino Linotype" w:eastAsia="Times New Roman" w:hAnsi="Palatino Linotype" w:cs="Times New Roman"/>
          <w:color w:val="000000"/>
          <w:kern w:val="36"/>
          <w:sz w:val="21"/>
          <w:szCs w:val="21"/>
          <w:lang w:eastAsia="nb-NO"/>
        </w:rPr>
        <w:t>esponsible for</w:t>
      </w:r>
      <w:r w:rsidR="00333307" w:rsidRPr="007D61A7">
        <w:rPr>
          <w:rFonts w:ascii="Palatino Linotype" w:eastAsia="Times New Roman" w:hAnsi="Palatino Linotype" w:cs="Times New Roman"/>
          <w:color w:val="000000"/>
          <w:kern w:val="36"/>
          <w:sz w:val="21"/>
          <w:szCs w:val="21"/>
          <w:lang w:eastAsia="nb-NO"/>
        </w:rPr>
        <w:t xml:space="preserve"> 5.2% of global greenhouse gas emissions</w:t>
      </w:r>
      <w:r w:rsidR="00133EB7" w:rsidRPr="007D61A7">
        <w:rPr>
          <w:rFonts w:ascii="Palatino Linotype" w:eastAsia="Times New Roman" w:hAnsi="Palatino Linotype" w:cs="Times New Roman"/>
          <w:color w:val="000000"/>
          <w:kern w:val="36"/>
          <w:sz w:val="21"/>
          <w:szCs w:val="21"/>
          <w:lang w:eastAsia="nb-NO"/>
        </w:rPr>
        <w:t xml:space="preserve"> </w:t>
      </w:r>
      <w:r w:rsidR="00133EB7" w:rsidRPr="007D61A7">
        <w:rPr>
          <w:rFonts w:ascii="Palatino Linotype" w:hAnsi="Palatino Linotype"/>
        </w:rPr>
        <w:fldChar w:fldCharType="begin"/>
      </w:r>
      <w:r w:rsidR="00133EB7" w:rsidRPr="007D61A7">
        <w:rPr>
          <w:rFonts w:ascii="Palatino Linotype" w:hAnsi="Palatino Linotype"/>
        </w:rPr>
        <w:instrText xml:space="preserve"> ADDIN ZOTERO_ITEM CSL_CITATION {"citationID":"a2ghnsanagf","properties":{"formattedCitation":"(1)","plainCitation":"(1)"},"citationItems":[{"id":2048,"uris":["http://zotero.org/users/6103044/items/MJL98CN5"],"uri":["http://zotero.org/users/6103044/items/MJL98CN5"],"itemData":{"id":2048,"type":"article-journal","title":"The 2022 report of the Lancet Countdown on health and climate change: health at the mercy of fossil fuels","container-title":"The Lancet","volume":"0","issue":"0","source":"www.thelancet.com","URL":"https://www.thelancet.com/journals/lancet/article/PIIS0140-6736(22)01540-9/fulltext","DOI":"10.1016/S0140-6736(22)01540-9","ISSN":"0140-6736, 1474-547X","shortTitle":"The 2022 report of the Lancet Countdown on health and climate change","journalAbbreviation":"The Lancet","language":"English","author":[{"family":"Romanello","given":"Marina"},{"family":"Napoli","given":"Claudia Di"},{"family":"Drummond","given":"Paul"},{"family":"Green","given":"Carole"},{"family":"Kennard","given":"Harry"},{"family":"Lampard","given":"Pete"},{"family":"Scamman","given":"Daniel"},{"family":"Arnell","given":"Nigel"},{"family":"Ayeb-Karlsson","given":"Sonja"},{"family":"Ford","given":"Lea Berrang"},{"family":"Belesova","given":"Kristine"},{"family":"Bowen","given":"Kathryn"},{"family":"Cai","given":"Wenjia"},{"family":"Callaghan","given":"Max"},{"family":"Campbell-Lendrum","given":"Diarmid"},{"family":"Chambers","given":"Jonathan"},{"family":"Daalen","given":"Kim R.","dropping-particle":"van"},{"family":"Dalin","given":"Carole"},{"family":"Dasandi","given":"Niheer"},{"family":"Dasgupta","given":"Shouro"},{"family":"Davies","given":"Michael"},{"family":"Dominguez-Salas","given":"Paula"},{"family":"Dubrow","given":"Robert"},{"family":"Ebi","given":"Kristie L."},{"family":"Eckelman","given":"Matthew"},{"family":"Ekins","given":"Paul"},{"family":"Escobar","given":"Luis E."},{"family":"Georgeson","given":"Lucien"},{"family":"Graham","given":"Hilary"},{"family":"Gunther","given":"Samuel H."},{"family":"Hamilton","given":"Ian"},{"family":"Hang","given":"Yun"},{"family":"Hänninen","given":"Risto"},{"family":"Hartinger","given":"Stella"},{"family":"He","given":"Kehan"},{"family":"Hess","given":"Jeremy J."},{"family":"Hsu","given":"Shih-Che"},{"family":"Jankin","given":"Slava"},{"family":"Jamart","given":"Louis"},{"family":"Jay","given":"Ollie"},{"family":"Kelman","given":"Ilan"},{"family":"Kiesewetter","given":"Gregor"},{"family":"Kinney","given":"Patrick"},{"family":"Kjellstrom","given":"Tord"},{"family":"Kniveton","given":"Dominic"},{"family":"Lee","given":"Jason K. W."},{"family":"Lemke","given":"Bruno"},{"family":"Liu","given":"Yang"},{"family":"Liu","given":"Zhao"},{"family":"Lott","given":"Melissa"},{"family":"Batista","given":"Martin Lotto"},{"family":"Lowe","given":"Rachel"},{"family":"MacGuire","given":"Frances"},{"family":"Sewe","given":"Maquins Odhiambo"},{"family":"Martinez-Urtaza","given":"Jaime"},{"family":"Maslin","given":"Mark"},{"family":"McAllister","given":"Lucy"},{"family":"McGushin","given":"Alice"},{"family":"McMichael","given":"Celia"},{"family":"Mi","given":"Zhifu"},{"family":"Milner","given":"James"},{"family":"Minor","given":"Kelton"},{"family":"Minx","given":"Jan C."},{"family":"Mohajeri","given":"Nahid"},{"family":"Moradi-Lakeh","given":"Maziar"},{"family":"Morrissey","given":"Karyn"},{"family":"Munzert","given":"Simon"},{"family":"Murray","given":"Kris A."},{"family":"Neville","given":"Tara"},{"family":"Nilsson","given":"Maria"},{"family":"Obradovich","given":"Nick"},{"family":"O'Hare","given":"Megan B."},{"family":"Oreszczyn","given":"Tadj"},{"family":"Otto","given":"Matthias"},{"family":"Owfi","given":"Fereidoon"},{"family":"Pearman","given":"Olivia"},{"family":"Rabbaniha","given":"Mahnaz"},{"family":"Robinson","given":"Elizabeth J. Z."},{"family":"Rocklöv","given":"Joacim"},{"family":"Salas","given":"Renee N."},{"family":"Semenza","given":"Jan C."},{"family":"Sherman","given":"Jodi D."},{"family":"Shi","given":"Liuhua"},{"family":"Shumake-Guillemot","given":"Joy"},{"family":"Silbert","given":"Grant"},{"family":"Sofiev","given":"Mikhail"},{"family":"Springmann","given":"Marco"},{"family":"Stowell","given":"Jennifer"},{"family":"Tabatabaei","given":"Meisam"},{"family":"Taylor","given":"Jonathon"},{"family":"Triñanes","given":"Joaquin"},{"family":"Wagner","given":"Fabian"},{"family":"Wilkinson","given":"Paul"},{"family":"Winning","given":"Matthew"},{"family":"Yglesias-González","given":"Marisol"},{"family":"Zhang","given":"Shihui"},{"family":"Gong","given":"Peng"},{"family":"Montgomery","given":"Hugh"},{"family":"Costello","given":"Anthony"}],"issued":{"date-parts":[["2022",10,25]]}}}],"schema":"https://github.com/citation-style-language/schema/raw/master/csl-citation.json"} </w:instrText>
      </w:r>
      <w:r w:rsidR="00133EB7" w:rsidRPr="007D61A7">
        <w:rPr>
          <w:rFonts w:ascii="Palatino Linotype" w:hAnsi="Palatino Linotype"/>
        </w:rPr>
        <w:fldChar w:fldCharType="separate"/>
      </w:r>
      <w:r w:rsidR="00133EB7" w:rsidRPr="007D61A7">
        <w:rPr>
          <w:rFonts w:ascii="Palatino Linotype" w:hAnsi="Palatino Linotype"/>
        </w:rPr>
        <w:t>(1)</w:t>
      </w:r>
      <w:r w:rsidR="00133EB7" w:rsidRPr="007D61A7">
        <w:rPr>
          <w:rFonts w:ascii="Palatino Linotype" w:hAnsi="Palatino Linotype"/>
        </w:rPr>
        <w:fldChar w:fldCharType="end"/>
      </w:r>
      <w:r w:rsidR="00133EB7" w:rsidRPr="007D61A7">
        <w:rPr>
          <w:rFonts w:ascii="Palatino Linotype" w:hAnsi="Palatino Linotype"/>
        </w:rPr>
        <w:t>,</w:t>
      </w:r>
      <w:r w:rsidR="00C620C0" w:rsidRPr="007D61A7">
        <w:rPr>
          <w:rFonts w:ascii="Palatino Linotype" w:eastAsia="Times New Roman" w:hAnsi="Palatino Linotype" w:cs="Times New Roman"/>
          <w:color w:val="000000"/>
          <w:kern w:val="36"/>
          <w:sz w:val="21"/>
          <w:szCs w:val="21"/>
          <w:lang w:eastAsia="nb-NO"/>
        </w:rPr>
        <w:t xml:space="preserve"> which </w:t>
      </w:r>
      <w:r w:rsidR="00333307" w:rsidRPr="007D61A7">
        <w:rPr>
          <w:rFonts w:ascii="Palatino Linotype" w:eastAsia="Times New Roman" w:hAnsi="Palatino Linotype" w:cs="Times New Roman"/>
          <w:color w:val="000000"/>
          <w:kern w:val="36"/>
          <w:sz w:val="21"/>
          <w:szCs w:val="21"/>
          <w:lang w:eastAsia="nb-NO"/>
        </w:rPr>
        <w:t xml:space="preserve">is more than </w:t>
      </w:r>
      <w:r w:rsidR="002641A2" w:rsidRPr="007D61A7">
        <w:rPr>
          <w:rFonts w:ascii="Palatino Linotype" w:eastAsia="Times New Roman" w:hAnsi="Palatino Linotype" w:cs="Times New Roman"/>
          <w:color w:val="000000"/>
          <w:kern w:val="36"/>
          <w:sz w:val="21"/>
          <w:szCs w:val="21"/>
          <w:lang w:eastAsia="nb-NO"/>
        </w:rPr>
        <w:t xml:space="preserve">major polluting industries such as </w:t>
      </w:r>
      <w:r w:rsidR="00333307" w:rsidRPr="007D61A7">
        <w:rPr>
          <w:rFonts w:ascii="Palatino Linotype" w:eastAsia="Times New Roman" w:hAnsi="Palatino Linotype" w:cs="Times New Roman"/>
          <w:color w:val="000000"/>
          <w:kern w:val="36"/>
          <w:sz w:val="21"/>
          <w:szCs w:val="21"/>
          <w:lang w:eastAsia="nb-NO"/>
        </w:rPr>
        <w:t xml:space="preserve">aviation and shipping . </w:t>
      </w:r>
      <w:r w:rsidR="007E44E6" w:rsidRPr="007D61A7">
        <w:rPr>
          <w:rFonts w:ascii="Palatino Linotype" w:eastAsia="Times New Roman" w:hAnsi="Palatino Linotype" w:cs="Times New Roman"/>
          <w:color w:val="000000"/>
          <w:kern w:val="36"/>
          <w:sz w:val="21"/>
          <w:szCs w:val="21"/>
          <w:lang w:eastAsia="nb-NO"/>
        </w:rPr>
        <w:t xml:space="preserve">The roughly proportional relationship between greenhouse gas emissions and global temperature rise means that healthcare is independently and quantifiably contributing to increasing the health impacts of climate change </w:t>
      </w:r>
      <w:r w:rsidR="0083472E" w:rsidRPr="007D61A7">
        <w:rPr>
          <w:rFonts w:ascii="Palatino Linotype" w:eastAsia="Times New Roman" w:hAnsi="Palatino Linotype" w:cs="Times New Roman"/>
          <w:color w:val="000000"/>
          <w:kern w:val="36"/>
          <w:sz w:val="21"/>
          <w:szCs w:val="21"/>
          <w:lang w:eastAsia="nb-NO"/>
        </w:rPr>
        <w:fldChar w:fldCharType="begin"/>
      </w:r>
      <w:r w:rsidR="0083472E" w:rsidRPr="007D61A7">
        <w:rPr>
          <w:rFonts w:ascii="Palatino Linotype" w:eastAsia="Times New Roman" w:hAnsi="Palatino Linotype" w:cs="Times New Roman"/>
          <w:color w:val="000000"/>
          <w:kern w:val="36"/>
          <w:sz w:val="21"/>
          <w:szCs w:val="21"/>
          <w:lang w:eastAsia="nb-NO"/>
        </w:rPr>
        <w:instrText xml:space="preserve"> ADDIN ZOTERO_ITEM CSL_CITATION {"citationID":"a101j4aad7t","properties":{"formattedCitation":"(2,3)","plainCitation":"(2,3)"},"citationItems":[{"id":1643,"uris":["http://zotero.org/users/6103044/items/AK6KVRWK"],"uri":["http://zotero.org/users/6103044/items/AK6KVRWK"],"itemData":{"id":1643,"type":"article-journal","title":"The mortality cost of carbon","container-title":"Nature Communications","page":"1-12","volume":"12","issue":"1","source":"www.nature.com","abstract":"Climate change is expected to have impacts on human mortality, e.g. through increases in heat waves. Here, the author proposes a new metric to account for excess deaths from additional CO2 emissions, which allows to assess the mortality impacts of marginal emissions and leads to a substantial increase in the social costs of carbon.","URL":"https://www.nature.com/articles/s41467-021-24487-w","DOI":"10.1038/s41467-021-24487-w","ISSN":"2041-1723","journalAbbreviation":"Nat Commun","language":"en","author":[{"family":"Bressler","given":"R. Daniel"}],"issued":{"date-parts":[["2021",7,29]]}}},{"id":1919,"uris":["http://zotero.org/users/6103044/items/WQMGBK2B"],"uri":["http://zotero.org/users/6103044/items/WQMGBK2B"],"itemData":{"id":1919,"type":"article-journal","title":"The global temperature-related mortality impact of earlier decarbonization for the Australian health sector and economy: A modelling study","container-title":"PLOS ONE","page":"e0271550","volume":"17","issue":"8","source":"PLoS Journals","abstract":"Background Sustained elevated concentration of GHGs is predicted to increase global mortality. With the Australian health sector responsible for 7% of the nation’s GHG emissions, the benefits and costs of various decarbonisation trajectories are currently being investigated. To assist with this effort, we model the impact earlier decarbonisation has on temperature-related mortality. Design We used DICE-EMR, an Integrated Assessment Model with an endogenous mortality response, to simulate Australian GHG trajectories and estimate the temperature-related mortality impact of early decarbonisation. We modelled a linear decline of the Australian health sector’s and economy’s GHG annual emissions to net-zero targets of 2040 and 2050. Main outcome measure Deaths averted and monetary-equivalent welfare gain. Results Decarbonisation of the Australian health sector by 2050 and 2040 is projected to avert an estimated 69,000 and 77,000 global temperature-related deaths respectively in a Baseline global emissions scenario. Australian economy decarbonisation by 2050 and 2040 is projected to avert an estimated 988,000 and 1,101,000 global deaths respectively. Assuming a low discount rate and high global emissions trajectory, we estimate a monetary equivalent welfare gain of $151 billion if the Australian health sector decarbonises by 2040, only accounting for the benefits in reducing temperature-related mortality. Conclusions Earlier decarbonisation has a significant impact on temperature-related mortality. Many uncertainties exist and health impacts other than temperature-related mortality are not captured by this analysis. Nevertheless, such models can help communicate the health risk of climate change and improve climate policy decision making.","URL":"https://journals.plos.org/plosone/article?id=10.1371/journal.pone.0271550","DOI":"10.1371/journal.pone.0271550","ISSN":"1932-6203","shortTitle":"The global temperature-related mortality impact of earlier decarbonization for the Australian health sector and economy","journalAbbreviation":"PLOS ONE","author":[{"family":"Sharma","given":"Siddhanth"},{"family":"Bressler","given":"R. Daniel"},{"family":"Bhopal","given":"Anand"},{"family":"Norheim","given":"Ole F."}],"issued":{"date-parts":[["2022",8,3]]}}}],"schema":"https://github.com/citation-style-language/schema/raw/master/csl-citation.json"} </w:instrText>
      </w:r>
      <w:r w:rsidR="0083472E" w:rsidRPr="007D61A7">
        <w:rPr>
          <w:rFonts w:ascii="Palatino Linotype" w:eastAsia="Times New Roman" w:hAnsi="Palatino Linotype" w:cs="Times New Roman"/>
          <w:color w:val="000000"/>
          <w:kern w:val="36"/>
          <w:sz w:val="21"/>
          <w:szCs w:val="21"/>
          <w:lang w:eastAsia="nb-NO"/>
        </w:rPr>
        <w:fldChar w:fldCharType="separate"/>
      </w:r>
      <w:r w:rsidR="0083472E" w:rsidRPr="007D61A7">
        <w:rPr>
          <w:rFonts w:ascii="Palatino Linotype" w:hAnsi="Palatino Linotype"/>
          <w:sz w:val="21"/>
        </w:rPr>
        <w:t>(2,3)</w:t>
      </w:r>
      <w:r w:rsidR="0083472E" w:rsidRPr="007D61A7">
        <w:rPr>
          <w:rFonts w:ascii="Palatino Linotype" w:eastAsia="Times New Roman" w:hAnsi="Palatino Linotype" w:cs="Times New Roman"/>
          <w:color w:val="000000"/>
          <w:kern w:val="36"/>
          <w:sz w:val="21"/>
          <w:szCs w:val="21"/>
          <w:lang w:eastAsia="nb-NO"/>
        </w:rPr>
        <w:fldChar w:fldCharType="end"/>
      </w:r>
      <w:r w:rsidR="007E44E6" w:rsidRPr="007D61A7">
        <w:rPr>
          <w:rFonts w:ascii="Palatino Linotype" w:eastAsia="Times New Roman" w:hAnsi="Palatino Linotype" w:cs="Times New Roman"/>
          <w:color w:val="000000"/>
          <w:kern w:val="36"/>
          <w:sz w:val="21"/>
          <w:szCs w:val="21"/>
          <w:lang w:eastAsia="nb-NO"/>
        </w:rPr>
        <w:t>.</w:t>
      </w:r>
      <w:r w:rsidR="003F48D7" w:rsidRPr="007D61A7">
        <w:rPr>
          <w:rFonts w:ascii="Palatino Linotype" w:eastAsia="Times New Roman" w:hAnsi="Palatino Linotype" w:cs="Times New Roman"/>
          <w:color w:val="000000"/>
          <w:kern w:val="36"/>
          <w:sz w:val="21"/>
          <w:szCs w:val="21"/>
          <w:lang w:eastAsia="nb-NO"/>
        </w:rPr>
        <w:t xml:space="preserve"> Although policy makers are accustomed to targets – namely 1.5</w:t>
      </w:r>
      <w:r w:rsidR="00C620C0" w:rsidRPr="007D61A7">
        <w:rPr>
          <w:rFonts w:ascii="Palatino Linotype" w:eastAsia="Times New Roman" w:hAnsi="Palatino Linotype" w:cs="Times New Roman"/>
          <w:color w:val="000000"/>
          <w:kern w:val="36"/>
          <w:sz w:val="21"/>
          <w:szCs w:val="21"/>
          <w:lang w:eastAsia="nb-NO"/>
        </w:rPr>
        <w:t>°</w:t>
      </w:r>
      <w:r w:rsidR="003F48D7" w:rsidRPr="007D61A7">
        <w:rPr>
          <w:rFonts w:ascii="Palatino Linotype" w:eastAsia="Times New Roman" w:hAnsi="Palatino Linotype" w:cs="Times New Roman"/>
          <w:color w:val="000000"/>
          <w:kern w:val="36"/>
          <w:sz w:val="21"/>
          <w:szCs w:val="21"/>
          <w:lang w:eastAsia="nb-NO"/>
        </w:rPr>
        <w:t>C and 2</w:t>
      </w:r>
      <w:r w:rsidR="00C620C0" w:rsidRPr="007D61A7">
        <w:rPr>
          <w:rFonts w:ascii="Palatino Linotype" w:eastAsia="Times New Roman" w:hAnsi="Palatino Linotype" w:cs="Times New Roman"/>
          <w:color w:val="000000"/>
          <w:kern w:val="36"/>
          <w:sz w:val="21"/>
          <w:szCs w:val="21"/>
          <w:lang w:eastAsia="nb-NO"/>
        </w:rPr>
        <w:t>°</w:t>
      </w:r>
      <w:r w:rsidR="003F48D7" w:rsidRPr="007D61A7">
        <w:rPr>
          <w:rFonts w:ascii="Palatino Linotype" w:eastAsia="Times New Roman" w:hAnsi="Palatino Linotype" w:cs="Times New Roman"/>
          <w:color w:val="000000"/>
          <w:kern w:val="36"/>
          <w:sz w:val="21"/>
          <w:szCs w:val="21"/>
          <w:lang w:eastAsia="nb-NO"/>
        </w:rPr>
        <w:t>C - d</w:t>
      </w:r>
      <w:r w:rsidR="007E44E6" w:rsidRPr="007D61A7">
        <w:rPr>
          <w:rFonts w:ascii="Palatino Linotype" w:eastAsia="Times New Roman" w:hAnsi="Palatino Linotype" w:cs="Times New Roman"/>
          <w:color w:val="000000"/>
          <w:kern w:val="36"/>
          <w:sz w:val="21"/>
          <w:szCs w:val="21"/>
          <w:lang w:eastAsia="nb-NO"/>
        </w:rPr>
        <w:t xml:space="preserve">etermining the ‘right’ temperature threshold to aim for </w:t>
      </w:r>
      <w:r w:rsidR="003F48D7" w:rsidRPr="007D61A7">
        <w:rPr>
          <w:rFonts w:ascii="Palatino Linotype" w:eastAsia="Times New Roman" w:hAnsi="Palatino Linotype" w:cs="Times New Roman"/>
          <w:color w:val="000000"/>
          <w:kern w:val="36"/>
          <w:sz w:val="21"/>
          <w:szCs w:val="21"/>
          <w:lang w:eastAsia="nb-NO"/>
        </w:rPr>
        <w:t>and accompanying</w:t>
      </w:r>
      <w:r w:rsidR="007E44E6" w:rsidRPr="007D61A7">
        <w:rPr>
          <w:rFonts w:ascii="Palatino Linotype" w:eastAsia="Times New Roman" w:hAnsi="Palatino Linotype" w:cs="Times New Roman"/>
          <w:color w:val="000000"/>
          <w:kern w:val="36"/>
          <w:sz w:val="21"/>
          <w:szCs w:val="21"/>
          <w:lang w:eastAsia="nb-NO"/>
        </w:rPr>
        <w:t xml:space="preserve"> levels of emissions mitigation required is largely an ethical question, rather than a scientific one</w:t>
      </w:r>
      <w:r w:rsidR="003F48D7" w:rsidRPr="007D61A7">
        <w:rPr>
          <w:rFonts w:ascii="Palatino Linotype" w:eastAsia="Times New Roman" w:hAnsi="Palatino Linotype" w:cs="Times New Roman"/>
          <w:color w:val="000000"/>
          <w:kern w:val="36"/>
          <w:sz w:val="21"/>
          <w:szCs w:val="21"/>
          <w:lang w:eastAsia="nb-NO"/>
        </w:rPr>
        <w:t xml:space="preserve">. </w:t>
      </w:r>
      <w:r w:rsidR="00D17C07" w:rsidRPr="007D61A7">
        <w:rPr>
          <w:rFonts w:ascii="Palatino Linotype" w:hAnsi="Palatino Linotype"/>
          <w:sz w:val="21"/>
          <w:szCs w:val="21"/>
        </w:rPr>
        <w:t xml:space="preserve">While a growing body of research is examining the carbon footprint of healthcare at both the micro </w:t>
      </w:r>
      <w:r w:rsidR="00D17C07"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dqHP0FJr","properties":{"formattedCitation":"(4)","plainCitation":"(4)"},"citationItems":[{"id":2201,"uris":["http://zotero.org/users/6103044/items/DS7KGSQ9"],"uri":["http://zotero.org/users/6103044/items/DS7KGSQ9"],"itemData":{"id":2201,"type":"article-journal","title":"HealthcareLCA: an open-access living database of health-care environmental impact assessments","container-title":"The Lancet Planetary Health","page":"e1000-e1012","volume":"6","issue":"12","source":"www.thelancet.com","abstract":"&lt;h2&gt;Summary&lt;/h2&gt;&lt;p&gt;Anthropogenic environmental change negatively effects human health and is increasing health-care system demand. Paradoxically, the provision of health care, which itself is a substantial contributor to environmental degradation, is compounding this problem. There is increasing willingness to transition towards sustainable health-care systems globally and ensuring that strategy and action are informed by best available evidence is imperative. In this Personal View, we present an interactive, open-access database designed to support this effort. Functioning as a living repository of environmental impact assessments within health care, the HealthcareLCA database collates 152 studies, predominantly peer-reviewed journal articles, into one centralised and publicly accessible location, providing impact estimates (currently totalling 3671 numerical values) across 1288 health-care products and processes. The database brings together research generated over the past two decades and indicates exponential field growth.&lt;/p&gt;","URL":"https://www.thelancet.com/journals/lanplh/article/PIIS2542-5196(22)00257-1/abstract","DOI":"10.1016/S2542-5196(22)00257-1","ISSN":"2542-5196","note":"PMID: 36495883, 36495883","shortTitle":"HealthcareLCA","journalAbbreviation":"The Lancet Planetary Health","language":"English","author":[{"family":"Drew","given":"Jonathan"},{"family":"Christie","given":"Sean D."},{"family":"Rainham","given":"Daniel"},{"family":"Rizan","given":"Chantelle"}],"issued":{"date-parts":[["2022",12,1]]}}}],"schema":"https://github.com/citation-style-language/schema/raw/master/csl-citation.json"} </w:instrText>
      </w:r>
      <w:r w:rsidR="00D17C07" w:rsidRPr="007D61A7">
        <w:rPr>
          <w:rFonts w:ascii="Palatino Linotype" w:hAnsi="Palatino Linotype"/>
          <w:sz w:val="21"/>
          <w:szCs w:val="21"/>
        </w:rPr>
        <w:fldChar w:fldCharType="separate"/>
      </w:r>
      <w:r w:rsidR="0083472E" w:rsidRPr="007D61A7">
        <w:rPr>
          <w:rFonts w:ascii="Palatino Linotype" w:hAnsi="Palatino Linotype"/>
          <w:sz w:val="21"/>
        </w:rPr>
        <w:t>(4)</w:t>
      </w:r>
      <w:r w:rsidR="00D17C07" w:rsidRPr="007D61A7">
        <w:rPr>
          <w:rFonts w:ascii="Palatino Linotype" w:hAnsi="Palatino Linotype"/>
          <w:sz w:val="21"/>
          <w:szCs w:val="21"/>
        </w:rPr>
        <w:fldChar w:fldCharType="end"/>
      </w:r>
      <w:r w:rsidR="00D17C07" w:rsidRPr="007D61A7">
        <w:rPr>
          <w:rFonts w:ascii="Palatino Linotype" w:hAnsi="Palatino Linotype"/>
          <w:sz w:val="21"/>
          <w:szCs w:val="21"/>
        </w:rPr>
        <w:t xml:space="preserve"> to macro level </w:t>
      </w:r>
      <w:r w:rsidR="00D17C07"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JHjYoCTp","properties":{"formattedCitation":"(5,6)","plainCitation":"(5,6)"},"citationItems":[{"id":704,"uris":["http://zotero.org/users/6103044/items/87YWL2SU"],"uri":["http://zotero.org/users/6103044/items/87YWL2SU"],"itemData":{"id":704,"type":"article-journal","title":"The environmental footprint of health care: a global assessment","container-title":"The Lancet Planetary Health","page":"e271-e279","volume":"4","issue":"7","source":"www.thelancet.com","abstract":"&lt;h2&gt;Summary&lt;/h2&gt;&lt;h3&gt;Background&lt;/h3&gt;&lt;p&gt;Health-care services are necessary for sustaining and improving human wellbeing, yet they have an environmental footprint that contributes to environment-related threats to human health. Previous studies have quantified the carbon emissions resulting from health care at a global level. We aimed to provide a global assessment of the wide-ranging environmental impacts of this sector.&lt;/p&gt;&lt;h3&gt;Methods&lt;/h3&gt;&lt;p&gt;In this multiregional input-output analysis, we evaluated the contribution of health-care sectors in driving environmental damage that in turn puts human health at risk. Using a global supply-chain database containing detailed information on health-care sectors, we quantified the direct and indirect supply-chain environmental damage driven by the demand for health care. We focused on seven environmental stressors with known adverse feedback cycles: greenhouse gas emissions, particulate matter, air pollutants (nitrogen oxides and sulphur dioxide), malaria risk, reactive nitrogen in water, and scarce water use.&lt;/p&gt;&lt;h3&gt;Findings&lt;/h3&gt;&lt;p&gt;Health care causes global environmental impacts that, depending on which indicator is considered, range between 1% and 5% of total global impacts, and are more than 5% for some national impacts.&lt;/p&gt;&lt;h3&gt;Interpretation&lt;/h3&gt;&lt;p&gt;Enhancing health-care expenditure to mitigate negative health effects of environmental damage is often promoted by health-care practitioners. However, global supply chains that feed into the enhanced activity of health-care sectors in turn initiate adverse feedback cycles by increasing the environmental impact of health care, thus counteracting the mission of health care.&lt;/p&gt;&lt;h3&gt;Funding&lt;/h3&gt;&lt;p&gt;Australian Research Council, National eResearch Collaboration Tools and Resources project.&lt;/p&gt;","URL":"https://www.thelancet.com/journals/lanplh/article/PIIS2542-5196(20)30121-2/abstract","DOI":"10.1016/S2542-5196(20)30121-2","ISSN":"2542-5196","note":"PMID: 32681898","shortTitle":"The environmental footprint of health care","journalAbbreviation":"The Lancet Planetary Health","language":"English","author":[{"family":"Lenzen","given":"Manfred"},{"family":"Malik","given":"Arunima"},{"family":"Li","given":"Mengyu"},{"family":"Fry","given":"Jacob"},{"family":"Weisz","given":"Helga"},{"family":"Pichler","given":"Peter-Paul"},{"family":"Chaves","given":"Leonardo Suveges Moreira"},{"family":"Capon","given":"Anthony"},{"family":"Pencheon","given":"David"}],"issued":{"date-parts":[["2020",7,1]]}}},{"id":300,"uris":["http://zotero.org/users/6103044/items/I68M7252"],"uri":["http://zotero.org/users/6103044/items/I68M7252"],"itemData":{"id":300,"type":"article-journal","title":"International comparison of health care carbon footprints","container-title":"Environmental Research Letters","page":"064004","volume":"14","issue":"6","source":"Institute of Physics","abstract":"Climate change confronts the health care sector with a dual challenge. Accumulating climate impacts are putting an increased burden on the service provision of already stressed health care systems in many regions of the world. At the same time, the Paris agreement requires rapid emission reductions in all sectors of the global economy to stay well below the 2 °C target. This study shows that in OECD countries, China, and India, health care on average accounts for 5% of the national CO2 footprint making the sector comparable in importance to the food sector. Some countries have seen reduced CO2 emissions related to health care despite growing expenditures since 2000, mirroring their economy wide emission trends. The average per capita health carbon footprint across the country sample in 2014 was 0.6 tCO2, varying between 1.51 tCO2/cap in the US and 0.06 tCO2/cap in India. A statistical analysis shows that the carbon intensity of the domestic energy system, the energy intensity of the domestic economy, and health care expenditure together explain half of the variance in per capita health carbon footprints. Our results indicate that important leverage points exist inside and outside the health sector. We discuss our findings in the context of the existing literature on the potentials and challenges of reducing GHG emissions in the health and energy sector.","URL":"https://doi.org/10.1088%2F1748-9326%2Fab19e1","DOI":"10.1088/1748-9326/ab19e1","ISSN":"1748-9326","journalAbbreviation":"Environ. Res. Lett.","language":"en","author":[{"family":"Pichler","given":"Peter-Paul"},{"family":"Jaccard","given":"Ingram S."},{"family":"Weisz","given":"Ulli"},{"family":"Weisz","given":"Helga"}],"issued":{"date-parts":[["2019",5]]},"accessed":{"date-parts":[["2020",5,12]]}}}],"schema":"https://github.com/citation-style-language/schema/raw/master/csl-citation.json"} </w:instrText>
      </w:r>
      <w:r w:rsidR="00D17C07" w:rsidRPr="007D61A7">
        <w:rPr>
          <w:rFonts w:ascii="Palatino Linotype" w:hAnsi="Palatino Linotype"/>
          <w:sz w:val="21"/>
          <w:szCs w:val="21"/>
        </w:rPr>
        <w:fldChar w:fldCharType="separate"/>
      </w:r>
      <w:r w:rsidR="0083472E" w:rsidRPr="007D61A7">
        <w:rPr>
          <w:rFonts w:ascii="Palatino Linotype" w:hAnsi="Palatino Linotype"/>
          <w:sz w:val="21"/>
        </w:rPr>
        <w:t>(5,6)</w:t>
      </w:r>
      <w:r w:rsidR="00D17C07" w:rsidRPr="007D61A7">
        <w:rPr>
          <w:rFonts w:ascii="Palatino Linotype" w:hAnsi="Palatino Linotype"/>
          <w:sz w:val="21"/>
          <w:szCs w:val="21"/>
        </w:rPr>
        <w:fldChar w:fldCharType="end"/>
      </w:r>
      <w:r w:rsidR="00D17C07" w:rsidRPr="007D61A7">
        <w:rPr>
          <w:rFonts w:ascii="Palatino Linotype" w:hAnsi="Palatino Linotype"/>
          <w:sz w:val="21"/>
          <w:szCs w:val="21"/>
        </w:rPr>
        <w:t>, relatively little has been written about how</w:t>
      </w:r>
      <w:r w:rsidR="00D17C07" w:rsidRPr="007D61A7">
        <w:rPr>
          <w:rFonts w:ascii="Palatino Linotype" w:eastAsia="Times New Roman" w:hAnsi="Palatino Linotype" w:cs="Times New Roman"/>
          <w:color w:val="000000"/>
          <w:kern w:val="36"/>
          <w:sz w:val="21"/>
          <w:szCs w:val="21"/>
          <w:lang w:eastAsia="nb-NO"/>
        </w:rPr>
        <w:t xml:space="preserve"> to fairly reach net zero healthcare globally. </w:t>
      </w:r>
      <w:r w:rsidR="00C620C0" w:rsidRPr="007D61A7">
        <w:rPr>
          <w:rFonts w:ascii="Palatino Linotype" w:eastAsia="Times New Roman" w:hAnsi="Palatino Linotype" w:cs="Times New Roman"/>
          <w:color w:val="000000"/>
          <w:kern w:val="36"/>
          <w:sz w:val="21"/>
          <w:szCs w:val="21"/>
          <w:lang w:eastAsia="nb-NO"/>
        </w:rPr>
        <w:t>Emissions incur benefits and inflict harm. D</w:t>
      </w:r>
      <w:r w:rsidR="003F48D7" w:rsidRPr="007D61A7">
        <w:rPr>
          <w:rFonts w:ascii="Palatino Linotype" w:eastAsia="Times New Roman" w:hAnsi="Palatino Linotype" w:cs="Times New Roman"/>
          <w:color w:val="000000"/>
          <w:kern w:val="36"/>
          <w:sz w:val="21"/>
          <w:szCs w:val="21"/>
          <w:lang w:eastAsia="nb-NO"/>
        </w:rPr>
        <w:t>ecarbonisation</w:t>
      </w:r>
      <w:r w:rsidR="00AA1EFE" w:rsidRPr="007D61A7">
        <w:rPr>
          <w:rFonts w:ascii="Palatino Linotype" w:eastAsia="Times New Roman" w:hAnsi="Palatino Linotype" w:cs="Times New Roman"/>
          <w:color w:val="000000"/>
          <w:kern w:val="36"/>
          <w:sz w:val="21"/>
          <w:szCs w:val="21"/>
          <w:lang w:eastAsia="nb-NO"/>
        </w:rPr>
        <w:t xml:space="preserve"> </w:t>
      </w:r>
      <w:r w:rsidR="0083472E" w:rsidRPr="007D61A7">
        <w:rPr>
          <w:rFonts w:ascii="Palatino Linotype" w:eastAsia="Times New Roman" w:hAnsi="Palatino Linotype" w:cs="Times New Roman"/>
          <w:color w:val="000000"/>
          <w:kern w:val="36"/>
          <w:sz w:val="21"/>
          <w:szCs w:val="21"/>
          <w:lang w:eastAsia="nb-NO"/>
        </w:rPr>
        <w:t>can save money and improve health but at some level it inescapably involves</w:t>
      </w:r>
      <w:r w:rsidR="007E44E6" w:rsidRPr="007D61A7">
        <w:rPr>
          <w:rFonts w:ascii="Palatino Linotype" w:eastAsia="Times New Roman" w:hAnsi="Palatino Linotype" w:cs="Times New Roman"/>
          <w:color w:val="000000"/>
          <w:kern w:val="36"/>
          <w:sz w:val="21"/>
          <w:szCs w:val="21"/>
          <w:lang w:eastAsia="nb-NO"/>
        </w:rPr>
        <w:t xml:space="preserve"> trade-offs</w:t>
      </w:r>
      <w:r w:rsidR="0008266D" w:rsidRPr="007D61A7">
        <w:rPr>
          <w:rFonts w:ascii="Palatino Linotype" w:eastAsia="Times New Roman" w:hAnsi="Palatino Linotype" w:cs="Times New Roman"/>
          <w:color w:val="000000"/>
          <w:kern w:val="36"/>
          <w:sz w:val="21"/>
          <w:szCs w:val="21"/>
          <w:lang w:eastAsia="nb-NO"/>
        </w:rPr>
        <w:t xml:space="preserve">. </w:t>
      </w:r>
      <w:r w:rsidR="00C620C0" w:rsidRPr="007D61A7">
        <w:rPr>
          <w:rFonts w:ascii="Palatino Linotype" w:eastAsia="Times New Roman" w:hAnsi="Palatino Linotype" w:cs="Times New Roman"/>
          <w:color w:val="000000"/>
          <w:kern w:val="36"/>
          <w:sz w:val="21"/>
          <w:szCs w:val="21"/>
          <w:lang w:eastAsia="nb-NO"/>
        </w:rPr>
        <w:t xml:space="preserve">In this background paper I will </w:t>
      </w:r>
      <w:r w:rsidR="0083472E" w:rsidRPr="007D61A7">
        <w:rPr>
          <w:rFonts w:ascii="Palatino Linotype" w:eastAsia="Times New Roman" w:hAnsi="Palatino Linotype" w:cs="Times New Roman"/>
          <w:color w:val="000000"/>
          <w:kern w:val="36"/>
          <w:sz w:val="21"/>
          <w:szCs w:val="21"/>
          <w:lang w:eastAsia="nb-NO"/>
        </w:rPr>
        <w:t xml:space="preserve">briefly </w:t>
      </w:r>
      <w:r w:rsidR="00C620C0" w:rsidRPr="007D61A7">
        <w:rPr>
          <w:rFonts w:ascii="Palatino Linotype" w:eastAsia="Times New Roman" w:hAnsi="Palatino Linotype" w:cs="Times New Roman"/>
          <w:color w:val="000000"/>
          <w:kern w:val="36"/>
          <w:sz w:val="21"/>
          <w:szCs w:val="21"/>
          <w:lang w:eastAsia="nb-NO"/>
        </w:rPr>
        <w:t xml:space="preserve">set out </w:t>
      </w:r>
      <w:r w:rsidR="001656E8" w:rsidRPr="007D61A7">
        <w:rPr>
          <w:rFonts w:ascii="Palatino Linotype" w:eastAsia="Times New Roman" w:hAnsi="Palatino Linotype" w:cs="Times New Roman"/>
          <w:color w:val="000000"/>
          <w:kern w:val="36"/>
          <w:sz w:val="21"/>
          <w:szCs w:val="21"/>
          <w:lang w:eastAsia="nb-NO"/>
        </w:rPr>
        <w:t xml:space="preserve">ideas on how </w:t>
      </w:r>
      <w:r w:rsidR="00C620C0" w:rsidRPr="007D61A7">
        <w:rPr>
          <w:rFonts w:ascii="Palatino Linotype" w:eastAsia="Times New Roman" w:hAnsi="Palatino Linotype" w:cs="Times New Roman"/>
          <w:color w:val="000000"/>
          <w:kern w:val="36"/>
          <w:sz w:val="21"/>
          <w:szCs w:val="21"/>
          <w:lang w:eastAsia="nb-NO"/>
        </w:rPr>
        <w:t xml:space="preserve">to </w:t>
      </w:r>
      <w:r w:rsidR="003F48D7" w:rsidRPr="007D61A7">
        <w:rPr>
          <w:rFonts w:ascii="Palatino Linotype" w:eastAsia="Times New Roman" w:hAnsi="Palatino Linotype" w:cs="Times New Roman"/>
          <w:color w:val="000000"/>
          <w:kern w:val="36"/>
          <w:sz w:val="21"/>
          <w:szCs w:val="21"/>
          <w:lang w:eastAsia="nb-NO"/>
        </w:rPr>
        <w:t>fairly share costs and benefit</w:t>
      </w:r>
      <w:r w:rsidR="00C620C0" w:rsidRPr="007D61A7">
        <w:rPr>
          <w:rFonts w:ascii="Palatino Linotype" w:eastAsia="Times New Roman" w:hAnsi="Palatino Linotype" w:cs="Times New Roman"/>
          <w:color w:val="000000"/>
          <w:kern w:val="36"/>
          <w:sz w:val="21"/>
          <w:szCs w:val="21"/>
          <w:lang w:eastAsia="nb-NO"/>
        </w:rPr>
        <w:t>s</w:t>
      </w:r>
      <w:r w:rsidR="003F48D7" w:rsidRPr="007D61A7">
        <w:rPr>
          <w:rFonts w:ascii="Palatino Linotype" w:eastAsia="Times New Roman" w:hAnsi="Palatino Linotype" w:cs="Times New Roman"/>
          <w:color w:val="000000"/>
          <w:kern w:val="36"/>
          <w:sz w:val="21"/>
          <w:szCs w:val="21"/>
          <w:lang w:eastAsia="nb-NO"/>
        </w:rPr>
        <w:t xml:space="preserve"> on the path to net zero</w:t>
      </w:r>
      <w:r w:rsidR="00C620C0" w:rsidRPr="007D61A7">
        <w:rPr>
          <w:rFonts w:ascii="Palatino Linotype" w:eastAsia="Times New Roman" w:hAnsi="Palatino Linotype" w:cs="Times New Roman"/>
          <w:color w:val="000000"/>
          <w:kern w:val="36"/>
          <w:sz w:val="21"/>
          <w:szCs w:val="21"/>
          <w:lang w:eastAsia="nb-NO"/>
        </w:rPr>
        <w:t xml:space="preserve">, focusing on the </w:t>
      </w:r>
      <w:r w:rsidR="003F48D7" w:rsidRPr="007D61A7">
        <w:rPr>
          <w:rFonts w:ascii="Palatino Linotype" w:eastAsia="Times New Roman" w:hAnsi="Palatino Linotype" w:cs="Times New Roman"/>
          <w:color w:val="000000"/>
          <w:kern w:val="36"/>
          <w:sz w:val="21"/>
          <w:szCs w:val="21"/>
          <w:lang w:eastAsia="nb-NO"/>
        </w:rPr>
        <w:t>example</w:t>
      </w:r>
      <w:r w:rsidR="00C620C0" w:rsidRPr="007D61A7">
        <w:rPr>
          <w:rFonts w:ascii="Palatino Linotype" w:eastAsia="Times New Roman" w:hAnsi="Palatino Linotype" w:cs="Times New Roman"/>
          <w:color w:val="000000"/>
          <w:kern w:val="36"/>
          <w:sz w:val="21"/>
          <w:szCs w:val="21"/>
          <w:lang w:eastAsia="nb-NO"/>
        </w:rPr>
        <w:t xml:space="preserve"> of decarbonising healthcare</w:t>
      </w:r>
      <w:r w:rsidR="0083472E" w:rsidRPr="007D61A7">
        <w:rPr>
          <w:rFonts w:ascii="Palatino Linotype" w:eastAsia="Times New Roman" w:hAnsi="Palatino Linotype" w:cs="Times New Roman"/>
          <w:color w:val="000000"/>
          <w:kern w:val="36"/>
          <w:sz w:val="21"/>
          <w:szCs w:val="21"/>
          <w:lang w:eastAsia="nb-NO"/>
        </w:rPr>
        <w:t>. D</w:t>
      </w:r>
      <w:r w:rsidR="001656E8" w:rsidRPr="007D61A7">
        <w:rPr>
          <w:rFonts w:ascii="Palatino Linotype" w:eastAsia="Times New Roman" w:hAnsi="Palatino Linotype" w:cs="Times New Roman"/>
          <w:color w:val="000000"/>
          <w:kern w:val="36"/>
          <w:sz w:val="21"/>
          <w:szCs w:val="21"/>
          <w:lang w:eastAsia="nb-NO"/>
        </w:rPr>
        <w:t>etail will be provided during the presentation.</w:t>
      </w:r>
    </w:p>
    <w:p w14:paraId="27C58710" w14:textId="0322B672" w:rsidR="00AA1EFE" w:rsidRPr="007D61A7" w:rsidRDefault="00AA1EFE" w:rsidP="00D17C07">
      <w:pPr>
        <w:pStyle w:val="Heading3"/>
        <w:spacing w:line="360" w:lineRule="auto"/>
        <w:rPr>
          <w:rFonts w:ascii="Palatino Linotype" w:hAnsi="Palatino Linotype"/>
          <w:sz w:val="21"/>
          <w:szCs w:val="21"/>
        </w:rPr>
      </w:pPr>
      <w:r w:rsidRPr="007D61A7">
        <w:rPr>
          <w:rFonts w:ascii="Palatino Linotype" w:hAnsi="Palatino Linotype"/>
          <w:sz w:val="21"/>
          <w:szCs w:val="21"/>
        </w:rPr>
        <w:t>Inequality</w:t>
      </w:r>
      <w:r w:rsidR="00C161A8" w:rsidRPr="007D61A7">
        <w:rPr>
          <w:rFonts w:ascii="Palatino Linotype" w:hAnsi="Palatino Linotype"/>
          <w:sz w:val="21"/>
          <w:szCs w:val="21"/>
        </w:rPr>
        <w:t xml:space="preserve"> and net zero</w:t>
      </w:r>
    </w:p>
    <w:p w14:paraId="0A85C64D" w14:textId="7B84FD93" w:rsidR="00117BAE" w:rsidRPr="007D61A7" w:rsidRDefault="00C54165" w:rsidP="00D17C07">
      <w:pPr>
        <w:spacing w:line="360" w:lineRule="auto"/>
        <w:rPr>
          <w:rFonts w:ascii="Palatino Linotype" w:hAnsi="Palatino Linotype"/>
          <w:sz w:val="21"/>
          <w:szCs w:val="21"/>
        </w:rPr>
      </w:pPr>
      <w:r w:rsidRPr="007D61A7">
        <w:rPr>
          <w:rFonts w:ascii="Palatino Linotype" w:hAnsi="Palatino Linotype"/>
          <w:sz w:val="21"/>
          <w:szCs w:val="21"/>
        </w:rPr>
        <w:t xml:space="preserve">How to assign responsibility for mitigation, value the health impacts of climate change and compensate for loss and damage </w:t>
      </w:r>
      <w:r w:rsidR="00C620C0" w:rsidRPr="007D61A7">
        <w:rPr>
          <w:rFonts w:ascii="Palatino Linotype" w:hAnsi="Palatino Linotype"/>
          <w:sz w:val="21"/>
          <w:szCs w:val="21"/>
        </w:rPr>
        <w:t>are all critical issues for climate action which</w:t>
      </w:r>
      <w:r w:rsidR="0083472E" w:rsidRPr="007D61A7">
        <w:rPr>
          <w:rFonts w:ascii="Palatino Linotype" w:hAnsi="Palatino Linotype"/>
          <w:sz w:val="21"/>
          <w:szCs w:val="21"/>
        </w:rPr>
        <w:t xml:space="preserve"> present a major headache for </w:t>
      </w:r>
      <w:r w:rsidRPr="007D61A7">
        <w:rPr>
          <w:rFonts w:ascii="Palatino Linotype" w:hAnsi="Palatino Linotype"/>
          <w:sz w:val="21"/>
          <w:szCs w:val="21"/>
        </w:rPr>
        <w:t xml:space="preserve">policy makers </w:t>
      </w:r>
      <w:r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s0yiPhYt","properties":{"formattedCitation":"(7)","plainCitation":"(7)"},"citationItems":[{"id":1751,"uris":["http://zotero.org/users/6103044/items/QVRWHHL4"],"uri":["http://zotero.org/users/6103044/items/QVRWHHL4"],"itemData":{"id":1751,"type":"article-journal","title":"The economics of immense risk, urgent action and radical change: towards new approaches to the economics of climate change","container-title":"Journal of Economic Methodology","page":"1-36","volume":"0","issue":"0","source":"Taylor and Francis+NEJM","abstract":"Designing policy for climate change requires analyses which integrate the interrelationship between the economy and the environment. We argue that, despite their dominance in the economics literature and influence in public discussion and policymaking, the methodology employed by Integrated Assessment Models (IAMs) rests on flawed foundations, which become particularly relevant in relation to the realities of the immense risks and challenges of climate change, and the radical changes in our economies that a sound and effective response require. We identify a set of critical methodological problems with the IAMs which limit their usefulness and discuss the analytic foundations of an alternative approach that is more capable of providing insights into how best to manage the transition to net-zero emissions.","URL":"https://doi.org/10.1080/1350178X.2022.2040740","DOI":"10.1080/1350178X.2022.2040740","ISSN":"1350-178X","shortTitle":"The economics of immense risk, urgent action and radical change","author":[{"family":"Stern","given":"Nicholas"},{"family":"Taylor","given":"Joseph Stiglitz in collaboration with Charlotte"}],"issued":{"date-parts":[["2022",2,24]]},"accessed":{"date-parts":[["2022",6,22]]}}}],"schema":"https://github.com/citation-style-language/schema/raw/master/csl-citation.json"} </w:instrText>
      </w:r>
      <w:r w:rsidRPr="007D61A7">
        <w:rPr>
          <w:rFonts w:ascii="Palatino Linotype" w:hAnsi="Palatino Linotype"/>
          <w:sz w:val="21"/>
          <w:szCs w:val="21"/>
        </w:rPr>
        <w:fldChar w:fldCharType="separate"/>
      </w:r>
      <w:r w:rsidR="0083472E" w:rsidRPr="007D61A7">
        <w:rPr>
          <w:rFonts w:ascii="Palatino Linotype" w:hAnsi="Palatino Linotype"/>
          <w:sz w:val="21"/>
        </w:rPr>
        <w:t>(7)</w:t>
      </w:r>
      <w:r w:rsidRPr="007D61A7">
        <w:rPr>
          <w:rFonts w:ascii="Palatino Linotype" w:hAnsi="Palatino Linotype"/>
          <w:sz w:val="21"/>
          <w:szCs w:val="21"/>
        </w:rPr>
        <w:fldChar w:fldCharType="end"/>
      </w:r>
      <w:r w:rsidRPr="007D61A7">
        <w:rPr>
          <w:rFonts w:ascii="Palatino Linotype" w:hAnsi="Palatino Linotype"/>
          <w:sz w:val="21"/>
          <w:szCs w:val="21"/>
        </w:rPr>
        <w:t xml:space="preserve">. </w:t>
      </w:r>
      <w:bookmarkStart w:id="0" w:name="_Hlk124193876"/>
      <w:r w:rsidR="003F48D7" w:rsidRPr="007D61A7">
        <w:rPr>
          <w:rFonts w:ascii="Palatino Linotype" w:hAnsi="Palatino Linotype"/>
          <w:sz w:val="21"/>
          <w:szCs w:val="21"/>
        </w:rPr>
        <w:t xml:space="preserve">Solutions considered </w:t>
      </w:r>
      <w:r w:rsidR="00C620C0" w:rsidRPr="007D61A7">
        <w:rPr>
          <w:rFonts w:ascii="Palatino Linotype" w:hAnsi="Palatino Linotype"/>
          <w:sz w:val="21"/>
          <w:szCs w:val="21"/>
        </w:rPr>
        <w:t xml:space="preserve">to be </w:t>
      </w:r>
      <w:r w:rsidR="003F48D7" w:rsidRPr="007D61A7">
        <w:rPr>
          <w:rFonts w:ascii="Palatino Linotype" w:hAnsi="Palatino Linotype"/>
          <w:sz w:val="21"/>
          <w:szCs w:val="21"/>
        </w:rPr>
        <w:t>fair</w:t>
      </w:r>
      <w:r w:rsidR="00C620C0" w:rsidRPr="007D61A7">
        <w:rPr>
          <w:rFonts w:ascii="Palatino Linotype" w:hAnsi="Palatino Linotype"/>
          <w:sz w:val="21"/>
          <w:szCs w:val="21"/>
        </w:rPr>
        <w:t>er</w:t>
      </w:r>
      <w:r w:rsidR="003F48D7" w:rsidRPr="007D61A7">
        <w:rPr>
          <w:rFonts w:ascii="Palatino Linotype" w:hAnsi="Palatino Linotype"/>
          <w:sz w:val="21"/>
          <w:szCs w:val="21"/>
        </w:rPr>
        <w:t xml:space="preserve"> are also </w:t>
      </w:r>
      <w:r w:rsidR="00C620C0" w:rsidRPr="007D61A7">
        <w:rPr>
          <w:rFonts w:ascii="Palatino Linotype" w:hAnsi="Palatino Linotype"/>
          <w:sz w:val="21"/>
          <w:szCs w:val="21"/>
        </w:rPr>
        <w:t xml:space="preserve">generally </w:t>
      </w:r>
      <w:r w:rsidR="003F48D7" w:rsidRPr="007D61A7">
        <w:rPr>
          <w:rFonts w:ascii="Palatino Linotype" w:hAnsi="Palatino Linotype"/>
          <w:sz w:val="21"/>
          <w:szCs w:val="21"/>
        </w:rPr>
        <w:t>deemed less politically feasible</w:t>
      </w:r>
      <w:r w:rsidR="00C620C0" w:rsidRPr="007D61A7">
        <w:rPr>
          <w:rFonts w:ascii="Palatino Linotype" w:hAnsi="Palatino Linotype"/>
          <w:sz w:val="21"/>
          <w:szCs w:val="21"/>
        </w:rPr>
        <w:t>;</w:t>
      </w:r>
      <w:r w:rsidR="003F48D7" w:rsidRPr="007D61A7">
        <w:rPr>
          <w:rFonts w:ascii="Palatino Linotype" w:hAnsi="Palatino Linotype"/>
          <w:sz w:val="21"/>
          <w:szCs w:val="21"/>
        </w:rPr>
        <w:t xml:space="preserve"> those deemed politically feasible</w:t>
      </w:r>
      <w:r w:rsidR="00D74CF5" w:rsidRPr="007D61A7">
        <w:rPr>
          <w:rFonts w:ascii="Palatino Linotype" w:hAnsi="Palatino Linotype"/>
          <w:sz w:val="21"/>
          <w:szCs w:val="21"/>
        </w:rPr>
        <w:t xml:space="preserve">, </w:t>
      </w:r>
      <w:r w:rsidR="00C620C0" w:rsidRPr="007D61A7">
        <w:rPr>
          <w:rFonts w:ascii="Palatino Linotype" w:hAnsi="Palatino Linotype"/>
          <w:sz w:val="21"/>
          <w:szCs w:val="21"/>
        </w:rPr>
        <w:t>inadequate</w:t>
      </w:r>
      <w:r w:rsidR="0083472E" w:rsidRPr="007D61A7">
        <w:rPr>
          <w:rFonts w:ascii="Palatino Linotype" w:hAnsi="Palatino Linotype"/>
          <w:sz w:val="21"/>
          <w:szCs w:val="21"/>
        </w:rPr>
        <w:t xml:space="preserve"> </w:t>
      </w:r>
      <w:r w:rsidR="0083472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a1cn32nd0tq","properties":{"formattedCitation":"(8)","plainCitation":"(8)"},"citationItems":[{"id":2177,"uris":["http://zotero.org/users/6103044/items/FGFZTRRE"],"uri":["http://zotero.org/users/6103044/items/FGFZTRRE"],"itemData":{"id":2177,"type":"article-journal","title":"Opportunities and challenges in using remaining carbon budgets to guide climate policy","container-title":"Nature Geoscience","page":"769-779","volume":"13","issue":"12","source":"www.nature.com","abstract":"Uncertainties and subjective choices affecting remaining carbon budgets should be fully considered when applying them to international and national climate policies.","URL":"https://www.nature.com/articles/s41561-020-00663-3","DOI":"10.1038/s41561-020-00663-3","ISSN":"1752-0908","journalAbbreviation":"Nat. Geosci.","language":"en","author":[{"family":"Matthews","given":"H. Damon"},{"family":"Tokarska","given":"Katarzyna B."},{"family":"Nicholls","given":"Zebedee R. J."},{"family":"Rogelj","given":"Joeri"},{"family":"Canadell","given":"Josep G."},{"family":"Friedlingstein","given":"Pierre"},{"family":"Frölicher","given":"Thomas L."},{"family":"Forster","given":"Piers M."},{"family":"Gillett","given":"Nathan P."},{"family":"Ilyina","given":"Tatiana"},{"family":"Jackson","given":"Robert B."},{"family":"Jones","given":"Chris D."},{"family":"Koven","given":"Charles"},{"family":"Knutti","given":"Reto"},{"family":"MacDougall","given":"Andrew H."},{"family":"Meinshausen","given":"Malte"},{"family":"Mengis","given":"Nadine"},{"family":"Séférian","given":"Roland"},{"family":"Zickfeld","given":"Kirsten"}],"issued":{"date-parts":[["2020",12]]}}}],"schema":"https://github.com/citation-style-language/schema/raw/master/csl-citation.json"} </w:instrText>
      </w:r>
      <w:r w:rsidR="0083472E" w:rsidRPr="007D61A7">
        <w:rPr>
          <w:rFonts w:ascii="Palatino Linotype" w:hAnsi="Palatino Linotype"/>
          <w:sz w:val="21"/>
          <w:szCs w:val="21"/>
        </w:rPr>
        <w:fldChar w:fldCharType="separate"/>
      </w:r>
      <w:r w:rsidR="0083472E" w:rsidRPr="007D61A7">
        <w:rPr>
          <w:rFonts w:ascii="Palatino Linotype" w:hAnsi="Palatino Linotype"/>
          <w:sz w:val="21"/>
        </w:rPr>
        <w:t>(8)</w:t>
      </w:r>
      <w:r w:rsidR="0083472E" w:rsidRPr="007D61A7">
        <w:rPr>
          <w:rFonts w:ascii="Palatino Linotype" w:hAnsi="Palatino Linotype"/>
          <w:sz w:val="21"/>
          <w:szCs w:val="21"/>
        </w:rPr>
        <w:fldChar w:fldCharType="end"/>
      </w:r>
      <w:r w:rsidR="003F48D7" w:rsidRPr="007D61A7">
        <w:rPr>
          <w:rFonts w:ascii="Palatino Linotype" w:hAnsi="Palatino Linotype"/>
          <w:sz w:val="21"/>
          <w:szCs w:val="21"/>
        </w:rPr>
        <w:t xml:space="preserve">. </w:t>
      </w:r>
      <w:r w:rsidR="0083472E" w:rsidRPr="007D61A7">
        <w:rPr>
          <w:rFonts w:ascii="Palatino Linotype" w:hAnsi="Palatino Linotype"/>
          <w:sz w:val="21"/>
          <w:szCs w:val="21"/>
        </w:rPr>
        <w:t>Over the course of</w:t>
      </w:r>
      <w:r w:rsidR="003F48D7" w:rsidRPr="007D61A7">
        <w:rPr>
          <w:rFonts w:ascii="Palatino Linotype" w:hAnsi="Palatino Linotype"/>
          <w:sz w:val="21"/>
          <w:szCs w:val="21"/>
        </w:rPr>
        <w:t xml:space="preserve"> 30 years of </w:t>
      </w:r>
      <w:proofErr w:type="gramStart"/>
      <w:r w:rsidR="0083472E" w:rsidRPr="007D61A7">
        <w:rPr>
          <w:rFonts w:ascii="Palatino Linotype" w:hAnsi="Palatino Linotype"/>
          <w:sz w:val="21"/>
          <w:szCs w:val="21"/>
        </w:rPr>
        <w:t>high level</w:t>
      </w:r>
      <w:proofErr w:type="gramEnd"/>
      <w:r w:rsidR="0083472E" w:rsidRPr="007D61A7">
        <w:rPr>
          <w:rFonts w:ascii="Palatino Linotype" w:hAnsi="Palatino Linotype"/>
          <w:sz w:val="21"/>
          <w:szCs w:val="21"/>
        </w:rPr>
        <w:t xml:space="preserve"> international </w:t>
      </w:r>
      <w:r w:rsidR="003F48D7" w:rsidRPr="007D61A7">
        <w:rPr>
          <w:rFonts w:ascii="Palatino Linotype" w:hAnsi="Palatino Linotype"/>
          <w:sz w:val="21"/>
          <w:szCs w:val="21"/>
        </w:rPr>
        <w:t>climate summits</w:t>
      </w:r>
      <w:r w:rsidR="00C620C0" w:rsidRPr="007D61A7">
        <w:rPr>
          <w:rFonts w:ascii="Palatino Linotype" w:hAnsi="Palatino Linotype"/>
          <w:sz w:val="21"/>
          <w:szCs w:val="21"/>
        </w:rPr>
        <w:t xml:space="preserve"> </w:t>
      </w:r>
      <w:r w:rsidR="00D74CF5" w:rsidRPr="007D61A7">
        <w:rPr>
          <w:rFonts w:ascii="Palatino Linotype" w:hAnsi="Palatino Linotype"/>
          <w:sz w:val="21"/>
          <w:szCs w:val="21"/>
        </w:rPr>
        <w:t>(</w:t>
      </w:r>
      <w:r w:rsidR="0083472E" w:rsidRPr="007D61A7">
        <w:rPr>
          <w:rFonts w:ascii="Palatino Linotype" w:hAnsi="Palatino Linotype"/>
          <w:sz w:val="21"/>
          <w:szCs w:val="21"/>
        </w:rPr>
        <w:t>‘</w:t>
      </w:r>
      <w:r w:rsidR="00D74CF5" w:rsidRPr="007D61A7">
        <w:rPr>
          <w:rFonts w:ascii="Palatino Linotype" w:hAnsi="Palatino Linotype"/>
          <w:sz w:val="21"/>
          <w:szCs w:val="21"/>
        </w:rPr>
        <w:t>COPs</w:t>
      </w:r>
      <w:r w:rsidR="0083472E" w:rsidRPr="007D61A7">
        <w:rPr>
          <w:rFonts w:ascii="Palatino Linotype" w:hAnsi="Palatino Linotype"/>
          <w:sz w:val="21"/>
          <w:szCs w:val="21"/>
        </w:rPr>
        <w:t>’</w:t>
      </w:r>
      <w:r w:rsidR="00D74CF5" w:rsidRPr="007D61A7">
        <w:rPr>
          <w:rFonts w:ascii="Palatino Linotype" w:hAnsi="Palatino Linotype"/>
          <w:sz w:val="21"/>
          <w:szCs w:val="21"/>
        </w:rPr>
        <w:t xml:space="preserve"> or Conference of Parties)</w:t>
      </w:r>
      <w:r w:rsidR="003F48D7" w:rsidRPr="007D61A7">
        <w:rPr>
          <w:rFonts w:ascii="Palatino Linotype" w:hAnsi="Palatino Linotype"/>
          <w:sz w:val="21"/>
          <w:szCs w:val="21"/>
        </w:rPr>
        <w:t xml:space="preserve">, emissions </w:t>
      </w:r>
      <w:r w:rsidR="0083472E" w:rsidRPr="007D61A7">
        <w:rPr>
          <w:rFonts w:ascii="Palatino Linotype" w:hAnsi="Palatino Linotype"/>
          <w:sz w:val="21"/>
          <w:szCs w:val="21"/>
        </w:rPr>
        <w:t xml:space="preserve">have steadily risen; rising, </w:t>
      </w:r>
      <w:r w:rsidR="003F48D7" w:rsidRPr="007D61A7">
        <w:rPr>
          <w:rFonts w:ascii="Palatino Linotype" w:hAnsi="Palatino Linotype"/>
          <w:sz w:val="21"/>
          <w:szCs w:val="21"/>
        </w:rPr>
        <w:t>after a brief pandemic dip,</w:t>
      </w:r>
      <w:r w:rsidR="0083472E" w:rsidRPr="007D61A7">
        <w:rPr>
          <w:rFonts w:ascii="Palatino Linotype" w:hAnsi="Palatino Linotype"/>
          <w:sz w:val="21"/>
          <w:szCs w:val="21"/>
        </w:rPr>
        <w:t xml:space="preserve"> </w:t>
      </w:r>
      <w:r w:rsidR="003F48D7" w:rsidRPr="007D61A7">
        <w:rPr>
          <w:rFonts w:ascii="Palatino Linotype" w:hAnsi="Palatino Linotype"/>
          <w:sz w:val="21"/>
          <w:szCs w:val="21"/>
        </w:rPr>
        <w:t xml:space="preserve">to an all-time high. </w:t>
      </w:r>
      <w:r w:rsidR="00D74CF5" w:rsidRPr="007D61A7">
        <w:rPr>
          <w:rFonts w:ascii="Palatino Linotype" w:hAnsi="Palatino Linotype"/>
          <w:sz w:val="21"/>
          <w:szCs w:val="21"/>
        </w:rPr>
        <w:t xml:space="preserve">The remaining carbon budget to stay within the Paris Agreement </w:t>
      </w:r>
      <w:r w:rsidR="0083472E" w:rsidRPr="007D61A7">
        <w:rPr>
          <w:rFonts w:ascii="Palatino Linotype" w:hAnsi="Palatino Linotype"/>
          <w:sz w:val="21"/>
          <w:szCs w:val="21"/>
        </w:rPr>
        <w:t>–</w:t>
      </w:r>
      <w:r w:rsidR="00D74CF5" w:rsidRPr="007D61A7">
        <w:rPr>
          <w:rFonts w:ascii="Palatino Linotype" w:hAnsi="Palatino Linotype"/>
          <w:sz w:val="21"/>
          <w:szCs w:val="21"/>
        </w:rPr>
        <w:t xml:space="preserve"> the intergovernmental agreement to limit global temperature rise to 1.5°C </w:t>
      </w:r>
      <w:r w:rsidR="0083472E" w:rsidRPr="007D61A7">
        <w:rPr>
          <w:rFonts w:ascii="Palatino Linotype" w:hAnsi="Palatino Linotype"/>
          <w:sz w:val="21"/>
          <w:szCs w:val="21"/>
        </w:rPr>
        <w:t>-</w:t>
      </w:r>
      <w:r w:rsidR="00D74CF5" w:rsidRPr="007D61A7">
        <w:rPr>
          <w:rFonts w:ascii="Palatino Linotype" w:hAnsi="Palatino Linotype"/>
          <w:sz w:val="21"/>
          <w:szCs w:val="21"/>
        </w:rPr>
        <w:t xml:space="preserve"> 2°C while pursuing poverty eradication and sustainable development – is rapidly diminishing</w:t>
      </w:r>
      <w:r w:rsidR="0083472E" w:rsidRPr="007D61A7">
        <w:rPr>
          <w:rFonts w:ascii="Palatino Linotype" w:hAnsi="Palatino Linotype"/>
          <w:sz w:val="21"/>
          <w:szCs w:val="21"/>
        </w:rPr>
        <w:t xml:space="preserve"> </w:t>
      </w:r>
      <w:r w:rsidR="0083472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acagp6cm22","properties":{"formattedCitation":"(9)","plainCitation":"(9)"},"citationItems":[{"id":832,"uris":["http://zotero.org/users/6103044/items/D7QTMSLP"],"uri":["http://zotero.org/users/6103044/items/D7QTMSLP"],"itemData":{"id":832,"type":"webpage","title":"Remaining carbon budget","URL":"https://www.mcc-berlin.net/en/research/co2-budget.html","author":[{"family":"Mercator Research Institute on Global Commons and Climate Change","given":""}],"issued":{"date-parts":[["2021",2,1]]},"accessed":{"date-parts":[["2021",1,29]]}}}],"schema":"https://github.com/citation-style-language/schema/raw/master/csl-citation.json"} </w:instrText>
      </w:r>
      <w:r w:rsidR="0083472E" w:rsidRPr="007D61A7">
        <w:rPr>
          <w:rFonts w:ascii="Palatino Linotype" w:hAnsi="Palatino Linotype"/>
          <w:sz w:val="21"/>
          <w:szCs w:val="21"/>
        </w:rPr>
        <w:fldChar w:fldCharType="separate"/>
      </w:r>
      <w:r w:rsidR="0083472E" w:rsidRPr="007D61A7">
        <w:rPr>
          <w:rFonts w:ascii="Palatino Linotype" w:hAnsi="Palatino Linotype"/>
          <w:sz w:val="21"/>
        </w:rPr>
        <w:t>(9)</w:t>
      </w:r>
      <w:r w:rsidR="0083472E" w:rsidRPr="007D61A7">
        <w:rPr>
          <w:rFonts w:ascii="Palatino Linotype" w:hAnsi="Palatino Linotype"/>
          <w:sz w:val="21"/>
          <w:szCs w:val="21"/>
        </w:rPr>
        <w:fldChar w:fldCharType="end"/>
      </w:r>
      <w:r w:rsidR="00D74CF5" w:rsidRPr="007D61A7">
        <w:rPr>
          <w:rFonts w:ascii="Palatino Linotype" w:hAnsi="Palatino Linotype"/>
          <w:sz w:val="21"/>
          <w:szCs w:val="21"/>
        </w:rPr>
        <w:t xml:space="preserve">. </w:t>
      </w:r>
    </w:p>
    <w:p w14:paraId="4C40D12B" w14:textId="2481A252" w:rsidR="00117BAE" w:rsidRPr="007D61A7" w:rsidRDefault="0005451D" w:rsidP="00117BAE">
      <w:pPr>
        <w:spacing w:line="360" w:lineRule="auto"/>
        <w:rPr>
          <w:rFonts w:ascii="Palatino Linotype" w:hAnsi="Palatino Linotype"/>
          <w:sz w:val="21"/>
          <w:szCs w:val="21"/>
        </w:rPr>
      </w:pPr>
      <w:r w:rsidRPr="007D61A7">
        <w:rPr>
          <w:rFonts w:ascii="Palatino Linotype" w:hAnsi="Palatino Linotype"/>
          <w:sz w:val="21"/>
          <w:szCs w:val="21"/>
        </w:rPr>
        <w:t>Emissions are not shared</w:t>
      </w:r>
      <w:r w:rsidR="00D74CF5" w:rsidRPr="007D61A7">
        <w:rPr>
          <w:rFonts w:ascii="Palatino Linotype" w:hAnsi="Palatino Linotype"/>
          <w:sz w:val="21"/>
          <w:szCs w:val="21"/>
        </w:rPr>
        <w:t xml:space="preserve"> equally. There are </w:t>
      </w:r>
      <w:r w:rsidRPr="007D61A7">
        <w:rPr>
          <w:rFonts w:ascii="Palatino Linotype" w:hAnsi="Palatino Linotype"/>
          <w:sz w:val="21"/>
          <w:szCs w:val="21"/>
        </w:rPr>
        <w:t>huge inequalities in emissions both within and between countries (Figure 1)</w:t>
      </w:r>
      <w:r w:rsidR="0083472E" w:rsidRPr="007D61A7">
        <w:rPr>
          <w:rFonts w:ascii="Palatino Linotype" w:hAnsi="Palatino Linotype"/>
          <w:sz w:val="21"/>
          <w:szCs w:val="21"/>
        </w:rPr>
        <w:t xml:space="preserve"> with major implications for fairness </w:t>
      </w:r>
      <w:r w:rsidR="0083472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alcbohnr6j","properties":{"formattedCitation":"(10)","plainCitation":"(10)"},"citationItems":[{"id":2224,"uris":["http://zotero.org/users/6103044/items/92LYXA6Z"],"uri":["http://zotero.org/users/6103044/items/92LYXA6Z"],"itemData":{"id":2224,"type":"article-journal","title":"Fairness critically conditions the carbon budget allocation across countries","container-title":"Global Environmental Change","page":"102481","volume":"74","source":"ScienceDirect","abstract":"Countries’ nationally determined contributions to mitigate global warming translate to claims of country specific shares of the remaining carbon budget. The remaining global budget is limited by the aim of staying well below 2 °C, however. Here we show how fairness concerns quantitatively condition the allocation of this global carbon budget across countries. Minimal fairness requirements include securing basic needs, attributing historical responsibility for past emissions, accounting for benefits from past emissions, and not exceeding countries’ societally feasible emission reduction rate. The argument in favor of taking into account these fairness concerns reflects a critique of both simple equality- and sovereignty-principled reduction approaches, the former modelled here as the equal-per-capita distribution from now on, the latter as prolonging the inequality of the status-quo levels of emissions into the transformation period (considered a form of “grandfathering”). We find the option most in line with fairness concerns to be a four-fold qualified version of the equal-per-capita approach that incorporates a limited form of grandfathering.","URL":"https://www.sciencedirect.com/science/article/pii/S095937802200019X","DOI":"10.1016/j.gloenvcha.2022.102481","ISSN":"0959-3780","journalAbbreviation":"Global Environmental Change","language":"en","author":[{"family":"Williges","given":"Keith"},{"family":"Meyer","given":"Lukas H."},{"family":"Steininger","given":"Karl W."},{"family":"Kirchengast","given":"Gottfried"}],"issued":{"date-parts":[["2022",5,1]]},"accessed":{"date-parts":[["2022",12,21]]}}}],"schema":"https://github.com/citation-style-language/schema/raw/master/csl-citation.json"} </w:instrText>
      </w:r>
      <w:r w:rsidR="0083472E" w:rsidRPr="007D61A7">
        <w:rPr>
          <w:rFonts w:ascii="Palatino Linotype" w:hAnsi="Palatino Linotype"/>
          <w:sz w:val="21"/>
          <w:szCs w:val="21"/>
        </w:rPr>
        <w:fldChar w:fldCharType="separate"/>
      </w:r>
      <w:r w:rsidR="0083472E" w:rsidRPr="007D61A7">
        <w:rPr>
          <w:rFonts w:ascii="Palatino Linotype" w:hAnsi="Palatino Linotype"/>
          <w:sz w:val="21"/>
        </w:rPr>
        <w:t>(10)</w:t>
      </w:r>
      <w:r w:rsidR="0083472E" w:rsidRPr="007D61A7">
        <w:rPr>
          <w:rFonts w:ascii="Palatino Linotype" w:hAnsi="Palatino Linotype"/>
          <w:sz w:val="21"/>
          <w:szCs w:val="21"/>
        </w:rPr>
        <w:fldChar w:fldCharType="end"/>
      </w:r>
      <w:r w:rsidRPr="007D61A7">
        <w:rPr>
          <w:rFonts w:ascii="Palatino Linotype" w:hAnsi="Palatino Linotype"/>
          <w:sz w:val="21"/>
          <w:szCs w:val="21"/>
        </w:rPr>
        <w:t>.</w:t>
      </w:r>
      <w:r w:rsidR="00117BAE" w:rsidRPr="007D61A7">
        <w:rPr>
          <w:rFonts w:ascii="Palatino Linotype" w:hAnsi="Palatino Linotype"/>
          <w:sz w:val="21"/>
          <w:szCs w:val="21"/>
        </w:rPr>
        <w:t xml:space="preserve"> One recurring for policy makers is the idea that timely climate mitigation suffers from the ‘free-rider’ problem </w:t>
      </w:r>
      <w:r w:rsidR="00117BA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a129cohvlol","properties":{"formattedCitation":"(11)","plainCitation":"(11)"},"citationItems":[{"id":368,"uris":["http://zotero.org/users/6103044/items/97997TG7"],"uri":["http://zotero.org/users/6103044/items/97997TG7"],"itemData":{"id":368,"type":"report","title":"A Polycentric Approach for Coping with Climate Change: Background Paper to the 2010 World Development Report (Policy Research Working Paper 5095)","publisher":"World Bank","publisher-place":"Washington DC","event-place":"Washington DC","author":[{"family":"Ostrom","given":"Elinor"}],"issued":{"date-parts":[["2010"]]}}}],"schema":"https://github.com/citation-style-language/schema/raw/master/csl-citation.json"} </w:instrText>
      </w:r>
      <w:r w:rsidR="00117BAE" w:rsidRPr="007D61A7">
        <w:rPr>
          <w:rFonts w:ascii="Palatino Linotype" w:hAnsi="Palatino Linotype"/>
          <w:sz w:val="21"/>
          <w:szCs w:val="21"/>
        </w:rPr>
        <w:fldChar w:fldCharType="separate"/>
      </w:r>
      <w:r w:rsidR="0083472E" w:rsidRPr="007D61A7">
        <w:rPr>
          <w:rFonts w:ascii="Palatino Linotype" w:hAnsi="Palatino Linotype"/>
          <w:sz w:val="21"/>
        </w:rPr>
        <w:t>(11)</w:t>
      </w:r>
      <w:r w:rsidR="00117BAE" w:rsidRPr="007D61A7">
        <w:rPr>
          <w:rFonts w:ascii="Palatino Linotype" w:hAnsi="Palatino Linotype"/>
          <w:sz w:val="21"/>
          <w:szCs w:val="21"/>
        </w:rPr>
        <w:fldChar w:fldCharType="end"/>
      </w:r>
      <w:r w:rsidR="00117BAE" w:rsidRPr="007D61A7">
        <w:rPr>
          <w:rFonts w:ascii="Palatino Linotype" w:hAnsi="Palatino Linotype"/>
          <w:sz w:val="21"/>
          <w:szCs w:val="21"/>
        </w:rPr>
        <w:t xml:space="preserve">. </w:t>
      </w:r>
      <w:bookmarkStart w:id="1" w:name="_Hlk124186723"/>
      <w:r w:rsidR="00117BAE" w:rsidRPr="007D61A7">
        <w:rPr>
          <w:rFonts w:ascii="Palatino Linotype" w:hAnsi="Palatino Linotype"/>
          <w:sz w:val="21"/>
          <w:szCs w:val="21"/>
        </w:rPr>
        <w:t xml:space="preserve">While </w:t>
      </w:r>
      <w:bookmarkStart w:id="2" w:name="_Hlk124243808"/>
      <w:r w:rsidR="00117BAE" w:rsidRPr="007D61A7">
        <w:rPr>
          <w:rFonts w:ascii="Palatino Linotype" w:hAnsi="Palatino Linotype"/>
          <w:sz w:val="21"/>
          <w:szCs w:val="21"/>
        </w:rPr>
        <w:t xml:space="preserve">producing emissions imposes burdens on others (through increasing global temperatures), reducing emissions provide a benefit which everyone enjoys (through helping stabilise global </w:t>
      </w:r>
      <w:r w:rsidR="00117BAE" w:rsidRPr="007D61A7">
        <w:rPr>
          <w:rFonts w:ascii="Palatino Linotype" w:hAnsi="Palatino Linotype"/>
          <w:sz w:val="21"/>
          <w:szCs w:val="21"/>
        </w:rPr>
        <w:lastRenderedPageBreak/>
        <w:t xml:space="preserve">temperatures), whether they reduce their own emissions or not </w:t>
      </w:r>
      <w:r w:rsidR="00117BA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gfb0BW0J","properties":{"formattedCitation":"(12)","plainCitation":"(12)"},"citationItems":[{"id":2137,"uris":["http://zotero.org/users/6103044/items/KEVH9JAG"],"uri":["http://zotero.org/users/6103044/items/KEVH9JAG"],"itemData":{"id":2137,"type":"book","title":"Climate Change 2014: Mitigation of Climate Change. Contribution of Working Group III to the Fifth Assessment Report of the Intergovernmental Panel on Climate Change","publisher":"Cambridge University Press","number-of-pages":"1554","source":"Google Books","abstract":"This Fifth Assessment Report of the Intergovernmental Panel on Climate Change (IPCC) will again form the standard scientific reference for all those concerned with climate change and its consequences, including students and researchers in environmental science, meteorology, climatology, biology, ecology and atmospheric chemistry. It provides invaluable material for decision makers and stakeholders at international, national and local level, in government, businesses, and NGOs. This volume provides: • An authoritative and unbiased overview of the physical science basis of climate change • A more extensive assessment of changes observed throughout the climate system than ever before • New dedicated chapters on sea-level change, biogeochemical cycles, clouds and aerosols, and regional climate phenomena • Extensive coverage of model projections, both near-term and long-term climate projections • A detailed assessment of climate change observations, modelling, and attribution for every continent • A new comprehensive atlas of global and regional climate projections for 35 regions of the world","ISBN":"978-1-139-91719-3","note":"Google-Books-ID: jn4mCAAAQBAJ","shortTitle":"Climate Change 2014: Mitigation of Climate Change.","language":"en","author":[{"family":"Intergovernmental Panel on Climate Change","given":""}],"issued":{"date-parts":[["2014",3,24]]}},"locator":"211"}],"schema":"https://github.com/citation-style-language/schema/raw/master/csl-citation.json"} </w:instrText>
      </w:r>
      <w:r w:rsidR="00117BAE" w:rsidRPr="007D61A7">
        <w:rPr>
          <w:rFonts w:ascii="Palatino Linotype" w:hAnsi="Palatino Linotype"/>
          <w:sz w:val="21"/>
          <w:szCs w:val="21"/>
        </w:rPr>
        <w:fldChar w:fldCharType="separate"/>
      </w:r>
      <w:r w:rsidR="0083472E" w:rsidRPr="007D61A7">
        <w:rPr>
          <w:rFonts w:ascii="Palatino Linotype" w:hAnsi="Palatino Linotype"/>
          <w:sz w:val="21"/>
        </w:rPr>
        <w:t>(12)</w:t>
      </w:r>
      <w:r w:rsidR="00117BAE" w:rsidRPr="007D61A7">
        <w:rPr>
          <w:rFonts w:ascii="Palatino Linotype" w:hAnsi="Palatino Linotype"/>
          <w:sz w:val="21"/>
          <w:szCs w:val="21"/>
        </w:rPr>
        <w:fldChar w:fldCharType="end"/>
      </w:r>
      <w:r w:rsidR="00117BAE" w:rsidRPr="007D61A7">
        <w:rPr>
          <w:rFonts w:ascii="Palatino Linotype" w:hAnsi="Palatino Linotype"/>
          <w:sz w:val="21"/>
          <w:szCs w:val="21"/>
        </w:rPr>
        <w:t xml:space="preserve">. </w:t>
      </w:r>
      <w:bookmarkStart w:id="3" w:name="_Hlk124243853"/>
      <w:bookmarkEnd w:id="2"/>
      <w:r w:rsidR="00117BAE" w:rsidRPr="007D61A7">
        <w:rPr>
          <w:rFonts w:ascii="Palatino Linotype" w:hAnsi="Palatino Linotype"/>
          <w:sz w:val="21"/>
          <w:szCs w:val="21"/>
        </w:rPr>
        <w:t xml:space="preserve">Put another way, the climate impacts are a ‘negative externality’, which has acted as an incentive to delay and minimise effective climate action out of so-called ‘rational self-interest’. </w:t>
      </w:r>
      <w:r w:rsidR="00050F39" w:rsidRPr="007D61A7">
        <w:rPr>
          <w:rFonts w:ascii="Palatino Linotype" w:hAnsi="Palatino Linotype"/>
          <w:sz w:val="21"/>
          <w:szCs w:val="21"/>
        </w:rPr>
        <w:t xml:space="preserve">Even the biggest polluters have historically insisted on not acting until others act, resulting in paralysis. </w:t>
      </w:r>
      <w:r w:rsidR="00117BAE" w:rsidRPr="007D61A7">
        <w:rPr>
          <w:rFonts w:ascii="Palatino Linotype" w:hAnsi="Palatino Linotype"/>
          <w:sz w:val="21"/>
          <w:szCs w:val="21"/>
        </w:rPr>
        <w:t>This problem has been characterised by economist Nicholas Stern as “</w:t>
      </w:r>
      <w:r w:rsidR="00117BAE" w:rsidRPr="007D61A7">
        <w:rPr>
          <w:rFonts w:ascii="Palatino Linotype" w:hAnsi="Palatino Linotype"/>
          <w:i/>
          <w:iCs/>
          <w:sz w:val="21"/>
          <w:szCs w:val="21"/>
        </w:rPr>
        <w:t>the greatest market failure the world has ever seen”</w:t>
      </w:r>
      <w:r w:rsidR="00117BAE" w:rsidRPr="007D61A7">
        <w:rPr>
          <w:rFonts w:ascii="Palatino Linotype" w:hAnsi="Palatino Linotype"/>
          <w:sz w:val="21"/>
          <w:szCs w:val="21"/>
        </w:rPr>
        <w:t xml:space="preserve"> </w:t>
      </w:r>
      <w:r w:rsidR="00117BAE"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7RbyRWy5","properties":{"formattedCitation":"(7,13)","plainCitation":"(7,13)"},"citationItems":[{"id":1751,"uris":["http://zotero.org/users/6103044/items/QVRWHHL4"],"uri":["http://zotero.org/users/6103044/items/QVRWHHL4"],"itemData":{"id":1751,"type":"article-journal","title":"The economics of immense risk, urgent action and radical change: towards new approaches to the economics of climate change","container-title":"Journal of Economic Methodology","page":"1-36","volume":"0","issue":"0","source":"Taylor and Francis+NEJM","abstract":"Designing policy for climate change requires analyses which integrate the interrelationship between the economy and the environment. We argue that, despite their dominance in the economics literature and influence in public discussion and policymaking, the methodology employed by Integrated Assessment Models (IAMs) rests on flawed foundations, which become particularly relevant in relation to the realities of the immense risks and challenges of climate change, and the radical changes in our economies that a sound and effective response require. We identify a set of critical methodological problems with the IAMs which limit their usefulness and discuss the analytic foundations of an alternative approach that is more capable of providing insights into how best to manage the transition to net-zero emissions.","URL":"https://doi.org/10.1080/1350178X.2022.2040740","DOI":"10.1080/1350178X.2022.2040740","ISSN":"1350-178X","shortTitle":"The economics of immense risk, urgent action and radical change","author":[{"family":"Stern","given":"Nicholas"},{"family":"Taylor","given":"Joseph Stiglitz in collaboration with Charlotte"}],"issued":{"date-parts":[["2022",2,24]]},"accessed":{"date-parts":[["2022",6,22]]}}},{"id":85,"uris":["http://zotero.org/users/6103044/items/HVLGASFA"],"uri":["http://zotero.org/users/6103044/items/HVLGASFA"],"itemData":{"id":85,"type":"book","title":"The Economics of Climate Change: The Stern Review","publisher":"Cambridge University Press","number-of-pages":"645","source":"Google Books","abstract":"There is now clear scientific evidence that emissions from economic activity, particularly the burning of fossil fuels for energy, are causing changes to the Earth's climate. A sound understanding of the economics of climate change is needed in order to underpin an effective global response to this challenge. The Stern Review is an independent, rigourous and comprehensive analysis of the economic aspects of this crucial issue. It has been conducted by Sir Nicholas Stern, Head of the UK Government Economic Service, and a former Chief Economist of the World Bank. The Economics of Climate Change will be invaluable for all students of the economics and policy implications of climate change, and economists, scientists and policy makers involved in all aspects of climate change.","ISBN":"978-0-521-70080-1","shortTitle":"The Economics of Climate Change","language":"en","author":[{"family":"Stern","given":"Nicholas"},{"family":"Stern","given":"Nicholas Herbert"},{"family":"Treasury","given":"Great Britain"}],"issued":{"date-parts":[["2007",1,4]]}}}],"schema":"https://github.com/citation-style-language/schema/raw/master/csl-citation.json"} </w:instrText>
      </w:r>
      <w:r w:rsidR="00117BAE" w:rsidRPr="007D61A7">
        <w:rPr>
          <w:rFonts w:ascii="Palatino Linotype" w:hAnsi="Palatino Linotype"/>
          <w:sz w:val="21"/>
          <w:szCs w:val="21"/>
        </w:rPr>
        <w:fldChar w:fldCharType="separate"/>
      </w:r>
      <w:r w:rsidR="0083472E" w:rsidRPr="007D61A7">
        <w:rPr>
          <w:rFonts w:ascii="Palatino Linotype" w:hAnsi="Palatino Linotype"/>
          <w:sz w:val="21"/>
        </w:rPr>
        <w:t>(7,13)</w:t>
      </w:r>
      <w:r w:rsidR="00117BAE" w:rsidRPr="007D61A7">
        <w:rPr>
          <w:rFonts w:ascii="Palatino Linotype" w:hAnsi="Palatino Linotype"/>
          <w:sz w:val="21"/>
          <w:szCs w:val="21"/>
        </w:rPr>
        <w:fldChar w:fldCharType="end"/>
      </w:r>
      <w:r w:rsidR="00117BAE" w:rsidRPr="007D61A7">
        <w:rPr>
          <w:rFonts w:ascii="Palatino Linotype" w:hAnsi="Palatino Linotype"/>
          <w:sz w:val="21"/>
          <w:szCs w:val="21"/>
        </w:rPr>
        <w:t>.</w:t>
      </w:r>
      <w:bookmarkEnd w:id="1"/>
      <w:bookmarkEnd w:id="3"/>
      <w:r w:rsidR="00117BAE" w:rsidRPr="007D61A7">
        <w:rPr>
          <w:rFonts w:ascii="Palatino Linotype" w:hAnsi="Palatino Linotype"/>
          <w:sz w:val="21"/>
          <w:szCs w:val="21"/>
        </w:rPr>
        <w:t xml:space="preserve"> </w:t>
      </w:r>
    </w:p>
    <w:p w14:paraId="61191276" w14:textId="720EE2D1" w:rsidR="000F7662" w:rsidRPr="007D61A7" w:rsidRDefault="0005451D" w:rsidP="00D17C07">
      <w:pPr>
        <w:spacing w:after="0" w:line="360" w:lineRule="auto"/>
        <w:jc w:val="center"/>
        <w:rPr>
          <w:rFonts w:ascii="Palatino Linotype" w:hAnsi="Palatino Linotype"/>
          <w:sz w:val="21"/>
          <w:szCs w:val="21"/>
        </w:rPr>
      </w:pPr>
      <w:r w:rsidRPr="007D61A7">
        <w:rPr>
          <w:rFonts w:ascii="Palatino Linotype" w:hAnsi="Palatino Linotype"/>
          <w:noProof/>
          <w:sz w:val="21"/>
          <w:szCs w:val="21"/>
        </w:rPr>
        <w:drawing>
          <wp:inline distT="0" distB="0" distL="0" distR="0" wp14:anchorId="4CAF1CE9" wp14:editId="765C5CFC">
            <wp:extent cx="5760720" cy="3399335"/>
            <wp:effectExtent l="0" t="0" r="11430" b="10795"/>
            <wp:docPr id="1" name="Chart 1">
              <a:extLst xmlns:a="http://schemas.openxmlformats.org/drawingml/2006/main">
                <a:ext uri="{FF2B5EF4-FFF2-40B4-BE49-F238E27FC236}">
                  <a16:creationId xmlns:a16="http://schemas.microsoft.com/office/drawing/2014/main" id="{A11731F4-5CE9-444E-9F50-8F409ADF58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2CE2CD" w14:textId="6A573924" w:rsidR="00A93BA4" w:rsidRPr="007D61A7" w:rsidRDefault="00A93BA4" w:rsidP="00D17C07">
      <w:pPr>
        <w:pStyle w:val="Caption"/>
        <w:spacing w:line="360" w:lineRule="auto"/>
      </w:pPr>
      <w:r w:rsidRPr="007D61A7">
        <w:t xml:space="preserve">Figure 1: Per capita emissions, by world region and income group (Data from: World Inequality Report, 2022 </w:t>
      </w:r>
      <w:r w:rsidRPr="007D61A7">
        <w:fldChar w:fldCharType="begin"/>
      </w:r>
      <w:r w:rsidR="0083472E" w:rsidRPr="007D61A7">
        <w:instrText xml:space="preserve"> ADDIN ZOTERO_ITEM CSL_CITATION {"citationID":"ado8ej52ks","properties":{"formattedCitation":"(14)","plainCitation":"(14)"},"citationItems":[{"id":1555,"uris":["http://zotero.org/users/6103044/items/JTDV6XSR"],"uri":["http://zotero.org/users/6103044/items/JTDV6XSR"],"itemData":{"id":1555,"type":"report","title":"World Inequality Report 2022","publisher":"World Inequality Lab","author":[{"family":"Chancel","given":"L"},{"family":"Piketty","given":"T"},{"family":"Saez","given":"E"},{"family":"Zucman","given":"G"}],"issued":{"date-parts":[["2022"]]}}}],"schema":"https://github.com/citation-style-language/schema/raw/master/csl-citation.json"} </w:instrText>
      </w:r>
      <w:r w:rsidRPr="007D61A7">
        <w:fldChar w:fldCharType="separate"/>
      </w:r>
      <w:r w:rsidR="0083472E" w:rsidRPr="007D61A7">
        <w:t>(14)</w:t>
      </w:r>
      <w:r w:rsidRPr="007D61A7">
        <w:fldChar w:fldCharType="end"/>
      </w:r>
      <w:r w:rsidRPr="007D61A7">
        <w:t>)</w:t>
      </w:r>
    </w:p>
    <w:p w14:paraId="583DD6D5" w14:textId="2F2281E8" w:rsidR="00117BAE" w:rsidRPr="007D61A7" w:rsidRDefault="00C161A8" w:rsidP="00D17C07">
      <w:pPr>
        <w:spacing w:before="100" w:beforeAutospacing="1" w:after="100" w:afterAutospacing="1" w:line="360" w:lineRule="auto"/>
        <w:rPr>
          <w:rFonts w:ascii="Palatino Linotype" w:hAnsi="Palatino Linotype"/>
          <w:sz w:val="21"/>
          <w:szCs w:val="21"/>
        </w:rPr>
      </w:pPr>
      <w:r w:rsidRPr="007D61A7">
        <w:rPr>
          <w:rFonts w:ascii="Palatino Linotype" w:hAnsi="Palatino Linotype"/>
          <w:sz w:val="21"/>
          <w:szCs w:val="21"/>
        </w:rPr>
        <w:t>By contrast, climate adaptation</w:t>
      </w:r>
      <w:r w:rsidR="00D74CF5" w:rsidRPr="007D61A7">
        <w:rPr>
          <w:rFonts w:ascii="Palatino Linotype" w:hAnsi="Palatino Linotype"/>
          <w:sz w:val="21"/>
          <w:szCs w:val="21"/>
        </w:rPr>
        <w:t xml:space="preserve">, a critical consideration for the health policy makers in the coming decades, </w:t>
      </w:r>
      <w:r w:rsidRPr="007D61A7">
        <w:rPr>
          <w:rFonts w:ascii="Palatino Linotype" w:hAnsi="Palatino Linotype"/>
          <w:sz w:val="21"/>
          <w:szCs w:val="21"/>
        </w:rPr>
        <w:t>does not suffer from freeriding, nor does it impose costs on others</w:t>
      </w:r>
      <w:r w:rsidR="00D74CF5" w:rsidRPr="007D61A7">
        <w:rPr>
          <w:rFonts w:ascii="Palatino Linotype" w:hAnsi="Palatino Linotype"/>
          <w:sz w:val="21"/>
          <w:szCs w:val="21"/>
        </w:rPr>
        <w:t>. H</w:t>
      </w:r>
      <w:r w:rsidRPr="007D61A7">
        <w:rPr>
          <w:rFonts w:ascii="Palatino Linotype" w:hAnsi="Palatino Linotype"/>
          <w:sz w:val="21"/>
          <w:szCs w:val="21"/>
        </w:rPr>
        <w:t xml:space="preserve">owever, it is severely limited by financial </w:t>
      </w:r>
      <w:r w:rsidR="00050F39" w:rsidRPr="007D61A7">
        <w:rPr>
          <w:rFonts w:ascii="Palatino Linotype" w:hAnsi="Palatino Linotype"/>
          <w:sz w:val="21"/>
          <w:szCs w:val="21"/>
        </w:rPr>
        <w:t>constraints since</w:t>
      </w:r>
      <w:r w:rsidR="002C5D51" w:rsidRPr="007D61A7">
        <w:rPr>
          <w:rFonts w:ascii="Palatino Linotype" w:hAnsi="Palatino Linotype"/>
          <w:sz w:val="21"/>
          <w:szCs w:val="21"/>
        </w:rPr>
        <w:t xml:space="preserve"> a</w:t>
      </w:r>
      <w:r w:rsidRPr="007D61A7">
        <w:rPr>
          <w:rFonts w:ascii="Palatino Linotype" w:hAnsi="Palatino Linotype"/>
          <w:sz w:val="21"/>
          <w:szCs w:val="21"/>
        </w:rPr>
        <w:t xml:space="preserve">daptation is needed most </w:t>
      </w:r>
      <w:r w:rsidR="002C5D51" w:rsidRPr="007D61A7">
        <w:rPr>
          <w:rFonts w:ascii="Palatino Linotype" w:hAnsi="Palatino Linotype"/>
          <w:sz w:val="21"/>
          <w:szCs w:val="21"/>
        </w:rPr>
        <w:t xml:space="preserve">amongst the global poor. </w:t>
      </w:r>
      <w:r w:rsidR="00117BAE" w:rsidRPr="007D61A7">
        <w:rPr>
          <w:rFonts w:ascii="Palatino Linotype" w:hAnsi="Palatino Linotype"/>
          <w:sz w:val="21"/>
          <w:szCs w:val="21"/>
        </w:rPr>
        <w:t xml:space="preserve">Since carbon emissions are tightly linked to income, </w:t>
      </w:r>
      <w:r w:rsidR="00050F39" w:rsidRPr="007D61A7">
        <w:rPr>
          <w:rFonts w:ascii="Palatino Linotype" w:hAnsi="Palatino Linotype"/>
          <w:sz w:val="21"/>
          <w:szCs w:val="21"/>
        </w:rPr>
        <w:t>these</w:t>
      </w:r>
      <w:r w:rsidR="00117BAE" w:rsidRPr="007D61A7">
        <w:rPr>
          <w:rFonts w:ascii="Palatino Linotype" w:hAnsi="Palatino Linotype"/>
          <w:sz w:val="21"/>
          <w:szCs w:val="21"/>
        </w:rPr>
        <w:t xml:space="preserve"> individual </w:t>
      </w:r>
      <w:r w:rsidR="00050F39" w:rsidRPr="007D61A7">
        <w:rPr>
          <w:rFonts w:ascii="Palatino Linotype" w:hAnsi="Palatino Linotype"/>
          <w:sz w:val="21"/>
          <w:szCs w:val="21"/>
        </w:rPr>
        <w:t xml:space="preserve">also </w:t>
      </w:r>
      <w:r w:rsidR="00117BAE" w:rsidRPr="007D61A7">
        <w:rPr>
          <w:rFonts w:ascii="Palatino Linotype" w:hAnsi="Palatino Linotype"/>
          <w:sz w:val="21"/>
          <w:szCs w:val="21"/>
        </w:rPr>
        <w:t xml:space="preserve">have the least responsibility for climate change. </w:t>
      </w:r>
      <w:r w:rsidR="00050F39" w:rsidRPr="007D61A7">
        <w:rPr>
          <w:rFonts w:ascii="Palatino Linotype" w:hAnsi="Palatino Linotype"/>
          <w:sz w:val="21"/>
          <w:szCs w:val="21"/>
        </w:rPr>
        <w:t xml:space="preserve">The challenge posed by cutting carbon emissions while pursuing sustainable development </w:t>
      </w:r>
      <w:r w:rsidRPr="007D61A7">
        <w:rPr>
          <w:rFonts w:ascii="Palatino Linotype" w:hAnsi="Palatino Linotype"/>
          <w:sz w:val="21"/>
          <w:szCs w:val="21"/>
        </w:rPr>
        <w:t xml:space="preserve">is evident in the case of poverty </w:t>
      </w:r>
      <w:r w:rsidR="00C54165" w:rsidRPr="007D61A7">
        <w:rPr>
          <w:rFonts w:ascii="Palatino Linotype" w:hAnsi="Palatino Linotype"/>
          <w:sz w:val="21"/>
          <w:szCs w:val="21"/>
        </w:rPr>
        <w:t>eradication</w:t>
      </w:r>
      <w:r w:rsidR="00D74CF5" w:rsidRPr="007D61A7">
        <w:rPr>
          <w:rFonts w:ascii="Palatino Linotype" w:hAnsi="Palatino Linotype"/>
          <w:sz w:val="21"/>
          <w:szCs w:val="21"/>
        </w:rPr>
        <w:t xml:space="preserve">. </w:t>
      </w:r>
    </w:p>
    <w:p w14:paraId="294A849C" w14:textId="07337B86" w:rsidR="00D17C07" w:rsidRPr="007D61A7" w:rsidRDefault="00117BAE" w:rsidP="00D17C07">
      <w:pPr>
        <w:spacing w:before="100" w:beforeAutospacing="1" w:after="100" w:afterAutospacing="1" w:line="360" w:lineRule="auto"/>
        <w:rPr>
          <w:rFonts w:ascii="Palatino Linotype" w:hAnsi="Palatino Linotype"/>
          <w:sz w:val="21"/>
          <w:szCs w:val="21"/>
        </w:rPr>
      </w:pPr>
      <w:r w:rsidRPr="007D61A7">
        <w:rPr>
          <w:rFonts w:ascii="Palatino Linotype" w:hAnsi="Palatino Linotype"/>
          <w:sz w:val="21"/>
          <w:szCs w:val="21"/>
        </w:rPr>
        <w:t xml:space="preserve">At </w:t>
      </w:r>
      <w:r w:rsidR="00C54165" w:rsidRPr="007D61A7">
        <w:rPr>
          <w:rFonts w:ascii="Palatino Linotype" w:hAnsi="Palatino Linotype"/>
          <w:sz w:val="21"/>
          <w:szCs w:val="21"/>
        </w:rPr>
        <w:t xml:space="preserve">same time as reducing individuals’ vulnerability to climate impacts, </w:t>
      </w:r>
      <w:r w:rsidR="00D17C07" w:rsidRPr="007D61A7">
        <w:rPr>
          <w:rFonts w:ascii="Palatino Linotype" w:hAnsi="Palatino Linotype"/>
          <w:sz w:val="21"/>
          <w:szCs w:val="21"/>
        </w:rPr>
        <w:t xml:space="preserve">alleviating poverty will </w:t>
      </w:r>
      <w:r w:rsidR="00C54165" w:rsidRPr="007D61A7">
        <w:rPr>
          <w:rFonts w:ascii="Palatino Linotype" w:hAnsi="Palatino Linotype"/>
          <w:sz w:val="21"/>
          <w:szCs w:val="21"/>
        </w:rPr>
        <w:t xml:space="preserve">increase the global mitigation effort required to stay below 1.5°-2°C. </w:t>
      </w:r>
      <w:bookmarkStart w:id="4" w:name="_Hlk124193899"/>
      <w:r w:rsidR="00050F39" w:rsidRPr="007D61A7">
        <w:rPr>
          <w:rFonts w:ascii="Palatino Linotype" w:hAnsi="Palatino Linotype"/>
          <w:sz w:val="21"/>
          <w:szCs w:val="21"/>
        </w:rPr>
        <w:t>Currently,</w:t>
      </w:r>
      <w:r w:rsidR="00C54165" w:rsidRPr="007D61A7">
        <w:rPr>
          <w:rFonts w:ascii="Palatino Linotype" w:hAnsi="Palatino Linotype"/>
          <w:sz w:val="21"/>
          <w:szCs w:val="21"/>
        </w:rPr>
        <w:t xml:space="preserve"> the additional emissions associated with eradicating extreme poverty ($1.9 PPP/day) would have a </w:t>
      </w:r>
      <w:r w:rsidRPr="007D61A7">
        <w:rPr>
          <w:rFonts w:ascii="Palatino Linotype" w:hAnsi="Palatino Linotype"/>
          <w:sz w:val="21"/>
          <w:szCs w:val="21"/>
        </w:rPr>
        <w:t>minimal</w:t>
      </w:r>
      <w:r w:rsidR="00C54165" w:rsidRPr="007D61A7">
        <w:rPr>
          <w:rFonts w:ascii="Palatino Linotype" w:hAnsi="Palatino Linotype"/>
          <w:sz w:val="21"/>
          <w:szCs w:val="21"/>
        </w:rPr>
        <w:t xml:space="preserve"> impact</w:t>
      </w:r>
      <w:r w:rsidRPr="007D61A7">
        <w:rPr>
          <w:rFonts w:ascii="Palatino Linotype" w:hAnsi="Palatino Linotype"/>
          <w:sz w:val="21"/>
          <w:szCs w:val="21"/>
        </w:rPr>
        <w:t xml:space="preserve"> on emissions</w:t>
      </w:r>
      <w:r w:rsidR="00C54165" w:rsidRPr="007D61A7">
        <w:rPr>
          <w:rFonts w:ascii="Palatino Linotype" w:hAnsi="Palatino Linotype"/>
          <w:sz w:val="21"/>
          <w:szCs w:val="21"/>
        </w:rPr>
        <w:t xml:space="preserve">, </w:t>
      </w:r>
      <w:r w:rsidR="00050F39" w:rsidRPr="007D61A7">
        <w:rPr>
          <w:rFonts w:ascii="Palatino Linotype" w:hAnsi="Palatino Linotype"/>
          <w:sz w:val="21"/>
          <w:szCs w:val="21"/>
        </w:rPr>
        <w:t xml:space="preserve">however, </w:t>
      </w:r>
      <w:r w:rsidR="00C54165" w:rsidRPr="007D61A7">
        <w:rPr>
          <w:rFonts w:ascii="Palatino Linotype" w:hAnsi="Palatino Linotype"/>
          <w:sz w:val="21"/>
          <w:szCs w:val="21"/>
        </w:rPr>
        <w:t xml:space="preserve">bringing everyone above the </w:t>
      </w:r>
      <w:r w:rsidRPr="007D61A7">
        <w:rPr>
          <w:rFonts w:ascii="Palatino Linotype" w:hAnsi="Palatino Linotype"/>
          <w:sz w:val="21"/>
          <w:szCs w:val="21"/>
        </w:rPr>
        <w:t>(</w:t>
      </w:r>
      <w:r w:rsidR="00C54165" w:rsidRPr="007D61A7">
        <w:rPr>
          <w:rFonts w:ascii="Palatino Linotype" w:hAnsi="Palatino Linotype"/>
          <w:sz w:val="21"/>
          <w:szCs w:val="21"/>
        </w:rPr>
        <w:t>still modest</w:t>
      </w:r>
      <w:r w:rsidRPr="007D61A7">
        <w:rPr>
          <w:rFonts w:ascii="Palatino Linotype" w:hAnsi="Palatino Linotype"/>
          <w:sz w:val="21"/>
          <w:szCs w:val="21"/>
        </w:rPr>
        <w:t>)</w:t>
      </w:r>
      <w:r w:rsidR="00C54165" w:rsidRPr="007D61A7">
        <w:rPr>
          <w:rFonts w:ascii="Palatino Linotype" w:hAnsi="Palatino Linotype"/>
          <w:sz w:val="21"/>
          <w:szCs w:val="21"/>
        </w:rPr>
        <w:t xml:space="preserve"> level of $2.97 PPP/day would increase global temperatures by 0.6°C</w:t>
      </w:r>
      <w:r w:rsidRPr="007D61A7">
        <w:rPr>
          <w:rFonts w:ascii="Palatino Linotype" w:hAnsi="Palatino Linotype"/>
          <w:sz w:val="21"/>
          <w:szCs w:val="21"/>
        </w:rPr>
        <w:t xml:space="preserve"> </w:t>
      </w:r>
      <w:r w:rsidRPr="007D61A7">
        <w:rPr>
          <w:rFonts w:ascii="Palatino Linotype" w:hAnsi="Palatino Linotype"/>
          <w:sz w:val="21"/>
          <w:szCs w:val="21"/>
        </w:rPr>
        <w:fldChar w:fldCharType="begin"/>
      </w:r>
      <w:r w:rsidR="0083472E" w:rsidRPr="007D61A7">
        <w:rPr>
          <w:rFonts w:ascii="Palatino Linotype" w:hAnsi="Palatino Linotype"/>
          <w:sz w:val="21"/>
          <w:szCs w:val="21"/>
        </w:rPr>
        <w:instrText xml:space="preserve"> ADDIN ZOTERO_ITEM CSL_CITATION {"citationID":"DFXngPNu","properties":{"formattedCitation":"(15)","plainCitation":"(15)"},"citationItems":[{"id":1505,"uris":["http://zotero.org/users/6103044/items/CV6H8TUS"],"uri":["http://zotero.org/users/6103044/items/CV6H8TUS"],"itemData":{"id":1505,"type":"article-journal","title":"Poverty eradication in a carbon constrained world","container-title":"Nature Communications","page":"912","volume":"8","issue":"1","source":"www.nature.com","abstract":"The UN Framework Convention on Climate Change aims to keep warming below 2 °C while recognizing developing countries’ right to eradicate extreme poverty. Poverty eradication is also the first of the Sustainable Development Goals. This paper investigates potential consequences for climate targets of achieving poverty eradication. We find that eradicating extreme poverty, i.e., moving people to an income above $1.9 purchasing power parity (PPP) a day, does not jeopardize the climate target even in the absence of climate policies and with current technologies. On the other hand, bringing everybody to a still modest expenditure level of at least $2.97 PPP would have long-term consequences on achieving emission targets. Compared to the reference mitigation pathway, eradicating extreme poverty increases the effort by 2.8% whereas bringing everybody to at least $2.97 PPP would increase the required mitigation rate by 27%. Given that the top 10% global income earners are responsible for 36% of the current carbon footprint of households; the discourse should address income distribution and the carbon intensity of lifestyles.","URL":"https://www.nature.com/articles/s41467-017-00919-4","DOI":"10.1038/s41467-017-00919-4","ISSN":"2041-1723","journalAbbreviation":"Nat Commun","language":"en","author":[{"family":"Hubacek","given":"Klaus"},{"family":"Baiocchi","given":"Giovanni"},{"family":"Feng","given":"Kuishuang"},{"family":"Patwardhan","given":"Anand"}],"issued":{"date-parts":[["2017",10,24]]}}}],"schema":"https://github.com/citation-style-language/schema/raw/master/csl-citation.json"} </w:instrText>
      </w:r>
      <w:r w:rsidRPr="007D61A7">
        <w:rPr>
          <w:rFonts w:ascii="Palatino Linotype" w:hAnsi="Palatino Linotype"/>
          <w:sz w:val="21"/>
          <w:szCs w:val="21"/>
        </w:rPr>
        <w:fldChar w:fldCharType="separate"/>
      </w:r>
      <w:r w:rsidR="0083472E" w:rsidRPr="007D61A7">
        <w:rPr>
          <w:rFonts w:ascii="Palatino Linotype" w:hAnsi="Palatino Linotype"/>
          <w:sz w:val="21"/>
        </w:rPr>
        <w:t>(15)</w:t>
      </w:r>
      <w:r w:rsidRPr="007D61A7">
        <w:rPr>
          <w:rFonts w:ascii="Palatino Linotype" w:hAnsi="Palatino Linotype"/>
          <w:sz w:val="21"/>
          <w:szCs w:val="21"/>
        </w:rPr>
        <w:fldChar w:fldCharType="end"/>
      </w:r>
      <w:r w:rsidRPr="007D61A7">
        <w:rPr>
          <w:rFonts w:ascii="Palatino Linotype" w:hAnsi="Palatino Linotype"/>
          <w:sz w:val="21"/>
          <w:szCs w:val="21"/>
        </w:rPr>
        <w:t xml:space="preserve">. This </w:t>
      </w:r>
      <w:r w:rsidR="00050F39" w:rsidRPr="007D61A7">
        <w:rPr>
          <w:rFonts w:ascii="Palatino Linotype" w:hAnsi="Palatino Linotype"/>
          <w:sz w:val="21"/>
          <w:szCs w:val="21"/>
        </w:rPr>
        <w:t>would have</w:t>
      </w:r>
      <w:r w:rsidRPr="007D61A7">
        <w:rPr>
          <w:rFonts w:ascii="Palatino Linotype" w:hAnsi="Palatino Linotype"/>
          <w:sz w:val="21"/>
          <w:szCs w:val="21"/>
        </w:rPr>
        <w:t xml:space="preserve"> major </w:t>
      </w:r>
      <w:r w:rsidR="00D74CF5" w:rsidRPr="007D61A7">
        <w:rPr>
          <w:rFonts w:ascii="Palatino Linotype" w:hAnsi="Palatino Linotype"/>
          <w:sz w:val="21"/>
          <w:szCs w:val="21"/>
        </w:rPr>
        <w:t xml:space="preserve">implications for climate </w:t>
      </w:r>
      <w:r w:rsidR="00D74CF5" w:rsidRPr="007D61A7">
        <w:rPr>
          <w:rFonts w:ascii="Palatino Linotype" w:hAnsi="Palatino Linotype"/>
          <w:sz w:val="21"/>
          <w:szCs w:val="21"/>
        </w:rPr>
        <w:lastRenderedPageBreak/>
        <w:t>mitigation efforts</w:t>
      </w:r>
      <w:r w:rsidRPr="007D61A7">
        <w:rPr>
          <w:rFonts w:ascii="Palatino Linotype" w:hAnsi="Palatino Linotype"/>
          <w:sz w:val="21"/>
          <w:szCs w:val="21"/>
        </w:rPr>
        <w:t xml:space="preserve"> globally</w:t>
      </w:r>
      <w:r w:rsidR="00050F39" w:rsidRPr="007D61A7">
        <w:rPr>
          <w:rFonts w:ascii="Palatino Linotype" w:hAnsi="Palatino Linotype"/>
          <w:sz w:val="21"/>
          <w:szCs w:val="21"/>
        </w:rPr>
        <w:t xml:space="preserve"> – including what wealthy countries consider their ‘fair share’ of responsibility to cutting emissions</w:t>
      </w:r>
      <w:r w:rsidR="00C54165" w:rsidRPr="007D61A7">
        <w:rPr>
          <w:rFonts w:ascii="Palatino Linotype" w:hAnsi="Palatino Linotype"/>
          <w:sz w:val="21"/>
          <w:szCs w:val="21"/>
        </w:rPr>
        <w:t xml:space="preserve">. Since the remaining carbon budget to stay within 1.5° and 2°C is fixed (i.e. </w:t>
      </w:r>
      <w:r w:rsidR="00050F39" w:rsidRPr="007D61A7">
        <w:rPr>
          <w:rFonts w:ascii="Palatino Linotype" w:hAnsi="Palatino Linotype"/>
          <w:sz w:val="21"/>
          <w:szCs w:val="21"/>
        </w:rPr>
        <w:t>‘</w:t>
      </w:r>
      <w:r w:rsidR="00C54165" w:rsidRPr="007D61A7">
        <w:rPr>
          <w:rFonts w:ascii="Palatino Linotype" w:hAnsi="Palatino Linotype"/>
          <w:sz w:val="21"/>
          <w:szCs w:val="21"/>
        </w:rPr>
        <w:t>zero sum</w:t>
      </w:r>
      <w:r w:rsidR="00050F39" w:rsidRPr="007D61A7">
        <w:rPr>
          <w:rFonts w:ascii="Palatino Linotype" w:hAnsi="Palatino Linotype"/>
          <w:sz w:val="21"/>
          <w:szCs w:val="21"/>
        </w:rPr>
        <w:t>’</w:t>
      </w:r>
      <w:r w:rsidR="00C54165" w:rsidRPr="007D61A7">
        <w:rPr>
          <w:rFonts w:ascii="Palatino Linotype" w:hAnsi="Palatino Linotype"/>
          <w:sz w:val="21"/>
          <w:szCs w:val="21"/>
        </w:rPr>
        <w:t xml:space="preserve">) </w:t>
      </w:r>
      <w:r w:rsidR="00D74CF5" w:rsidRPr="007D61A7">
        <w:rPr>
          <w:rFonts w:ascii="Palatino Linotype" w:hAnsi="Palatino Linotype"/>
          <w:sz w:val="21"/>
          <w:szCs w:val="21"/>
        </w:rPr>
        <w:t>poverty eradication</w:t>
      </w:r>
      <w:r w:rsidR="00050F39" w:rsidRPr="007D61A7">
        <w:rPr>
          <w:rFonts w:ascii="Palatino Linotype" w:hAnsi="Palatino Linotype"/>
          <w:sz w:val="21"/>
          <w:szCs w:val="21"/>
        </w:rPr>
        <w:t xml:space="preserve"> and more generally</w:t>
      </w:r>
      <w:r w:rsidR="00D74CF5" w:rsidRPr="007D61A7">
        <w:rPr>
          <w:rFonts w:ascii="Palatino Linotype" w:hAnsi="Palatino Linotype"/>
          <w:sz w:val="21"/>
          <w:szCs w:val="21"/>
        </w:rPr>
        <w:t xml:space="preserve"> sustainable development</w:t>
      </w:r>
      <w:r w:rsidR="00C54165" w:rsidRPr="007D61A7">
        <w:rPr>
          <w:rFonts w:ascii="Palatino Linotype" w:hAnsi="Palatino Linotype"/>
          <w:sz w:val="21"/>
          <w:szCs w:val="21"/>
        </w:rPr>
        <w:t xml:space="preserve"> </w:t>
      </w:r>
      <w:r w:rsidR="00354CE0" w:rsidRPr="007D61A7">
        <w:rPr>
          <w:rFonts w:ascii="Palatino Linotype" w:hAnsi="Palatino Linotype"/>
          <w:sz w:val="21"/>
          <w:szCs w:val="21"/>
        </w:rPr>
        <w:t xml:space="preserve">within planetary boundaries </w:t>
      </w:r>
      <w:r w:rsidR="00050F39" w:rsidRPr="007D61A7">
        <w:rPr>
          <w:rFonts w:ascii="Palatino Linotype" w:hAnsi="Palatino Linotype"/>
          <w:sz w:val="21"/>
          <w:szCs w:val="21"/>
        </w:rPr>
        <w:fldChar w:fldCharType="begin"/>
      </w:r>
      <w:r w:rsidR="00050F39" w:rsidRPr="007D61A7">
        <w:rPr>
          <w:rFonts w:ascii="Palatino Linotype" w:hAnsi="Palatino Linotype"/>
          <w:sz w:val="21"/>
          <w:szCs w:val="21"/>
        </w:rPr>
        <w:instrText xml:space="preserve"> ADDIN ZOTERO_ITEM CSL_CITATION {"citationID":"a288prb5jif","properties":{"formattedCitation":"(16)","plainCitation":"(16)"},"citationItems":[{"id":2004,"uris":["http://zotero.org/users/6103044/items/Y42PVDJV"],"uri":["http://zotero.org/users/6103044/items/Y42PVDJV"],"itemData":{"id":2004,"type":"article-journal","title":"A good life for all within planetary boundaries","container-title":"Nature Sustainability","page":"88-95","volume":"1","issue":"2","source":"www.nature.com","abstract":"Achieving a high quality of life within the biophysical limits of the planet is a significant challenge. This study quantifies the resource use associated with meeting basic human needs, compares it to downscaled planetary boundaries for over 150 nations and finds that no country meets its citizens’ basic needs sustainably.","URL":"https://www.nature.com/articles/s41893-018-0021-4","DOI":"10.1038/s41893-018-0021-4","ISSN":"2398-9629","journalAbbreviation":"Nat Sustain","language":"en","author":[{"family":"O’Neill","given":"Daniel W."},{"family":"Fanning","given":"Andrew L."},{"family":"Lamb","given":"William F."},{"family":"Steinberger","given":"Julia K."}],"issued":{"date-parts":[["2018",2]]}}}],"schema":"https://github.com/citation-style-language/schema/raw/master/csl-citation.json"} </w:instrText>
      </w:r>
      <w:r w:rsidR="00050F39" w:rsidRPr="007D61A7">
        <w:rPr>
          <w:rFonts w:ascii="Palatino Linotype" w:hAnsi="Palatino Linotype"/>
          <w:sz w:val="21"/>
          <w:szCs w:val="21"/>
        </w:rPr>
        <w:fldChar w:fldCharType="separate"/>
      </w:r>
      <w:r w:rsidR="00050F39" w:rsidRPr="007D61A7">
        <w:rPr>
          <w:rFonts w:ascii="Palatino Linotype" w:hAnsi="Palatino Linotype"/>
          <w:sz w:val="21"/>
        </w:rPr>
        <w:t>(16)</w:t>
      </w:r>
      <w:r w:rsidR="00050F39" w:rsidRPr="007D61A7">
        <w:rPr>
          <w:rFonts w:ascii="Palatino Linotype" w:hAnsi="Palatino Linotype"/>
          <w:sz w:val="21"/>
          <w:szCs w:val="21"/>
        </w:rPr>
        <w:fldChar w:fldCharType="end"/>
      </w:r>
      <w:r w:rsidR="00354CE0" w:rsidRPr="007D61A7">
        <w:rPr>
          <w:rFonts w:ascii="Palatino Linotype" w:hAnsi="Palatino Linotype"/>
          <w:sz w:val="21"/>
          <w:szCs w:val="21"/>
        </w:rPr>
        <w:t xml:space="preserve"> </w:t>
      </w:r>
      <w:r w:rsidR="00C54165" w:rsidRPr="007D61A7">
        <w:rPr>
          <w:rFonts w:ascii="Palatino Linotype" w:hAnsi="Palatino Linotype"/>
          <w:sz w:val="21"/>
          <w:szCs w:val="21"/>
        </w:rPr>
        <w:t xml:space="preserve">would require </w:t>
      </w:r>
      <w:r w:rsidR="0005451D" w:rsidRPr="007D61A7">
        <w:rPr>
          <w:rFonts w:ascii="Palatino Linotype" w:hAnsi="Palatino Linotype"/>
          <w:sz w:val="21"/>
          <w:szCs w:val="21"/>
        </w:rPr>
        <w:t xml:space="preserve">significantly </w:t>
      </w:r>
      <w:r w:rsidRPr="007D61A7">
        <w:rPr>
          <w:rFonts w:ascii="Palatino Linotype" w:hAnsi="Palatino Linotype"/>
          <w:sz w:val="21"/>
          <w:szCs w:val="21"/>
        </w:rPr>
        <w:t xml:space="preserve">drastically </w:t>
      </w:r>
      <w:r w:rsidR="0005451D" w:rsidRPr="007D61A7">
        <w:rPr>
          <w:rFonts w:ascii="Palatino Linotype" w:hAnsi="Palatino Linotype"/>
          <w:sz w:val="21"/>
          <w:szCs w:val="21"/>
        </w:rPr>
        <w:t xml:space="preserve">scaling up </w:t>
      </w:r>
      <w:r w:rsidR="00C54165" w:rsidRPr="007D61A7">
        <w:rPr>
          <w:rFonts w:ascii="Palatino Linotype" w:hAnsi="Palatino Linotype"/>
          <w:sz w:val="21"/>
          <w:szCs w:val="21"/>
        </w:rPr>
        <w:t>mitigation efforts</w:t>
      </w:r>
      <w:r w:rsidR="00D17C07" w:rsidRPr="007D61A7">
        <w:rPr>
          <w:rFonts w:ascii="Palatino Linotype" w:hAnsi="Palatino Linotype"/>
          <w:sz w:val="21"/>
          <w:szCs w:val="21"/>
        </w:rPr>
        <w:t xml:space="preserve"> elsewhere</w:t>
      </w:r>
      <w:r w:rsidR="00C54165" w:rsidRPr="007D61A7">
        <w:rPr>
          <w:rFonts w:ascii="Palatino Linotype" w:hAnsi="Palatino Linotype"/>
          <w:sz w:val="21"/>
          <w:szCs w:val="21"/>
        </w:rPr>
        <w:t>.</w:t>
      </w:r>
    </w:p>
    <w:bookmarkEnd w:id="4"/>
    <w:p w14:paraId="5DEDAFBC" w14:textId="01F4ADDC" w:rsidR="00C54165" w:rsidRPr="007D61A7" w:rsidRDefault="00C54165" w:rsidP="00D17C07">
      <w:pPr>
        <w:pStyle w:val="Heading3"/>
        <w:spacing w:line="360" w:lineRule="auto"/>
        <w:rPr>
          <w:rFonts w:ascii="Palatino Linotype" w:hAnsi="Palatino Linotype"/>
          <w:sz w:val="21"/>
          <w:szCs w:val="21"/>
        </w:rPr>
      </w:pPr>
      <w:r w:rsidRPr="007D61A7">
        <w:rPr>
          <w:rFonts w:ascii="Palatino Linotype" w:hAnsi="Palatino Linotype"/>
          <w:sz w:val="21"/>
          <w:szCs w:val="21"/>
        </w:rPr>
        <w:t>Net zero healthcare ethics:</w:t>
      </w:r>
    </w:p>
    <w:p w14:paraId="3651D2CA" w14:textId="514AE822" w:rsidR="00CB7233" w:rsidRPr="007D61A7" w:rsidRDefault="00050F39" w:rsidP="00D17C07">
      <w:pPr>
        <w:spacing w:line="360" w:lineRule="auto"/>
        <w:rPr>
          <w:rFonts w:ascii="Palatino Linotype" w:hAnsi="Palatino Linotype"/>
          <w:sz w:val="21"/>
          <w:szCs w:val="21"/>
        </w:rPr>
      </w:pPr>
      <w:bookmarkStart w:id="5" w:name="_Hlk122344788"/>
      <w:r w:rsidRPr="007D61A7">
        <w:rPr>
          <w:rFonts w:ascii="Palatino Linotype" w:eastAsia="Times New Roman" w:hAnsi="Palatino Linotype" w:cs="Times New Roman"/>
          <w:color w:val="000000"/>
          <w:kern w:val="36"/>
          <w:sz w:val="21"/>
          <w:szCs w:val="21"/>
          <w:lang w:eastAsia="nb-NO"/>
        </w:rPr>
        <w:t>A</w:t>
      </w:r>
      <w:r w:rsidRPr="007D61A7">
        <w:rPr>
          <w:rFonts w:ascii="Palatino Linotype" w:hAnsi="Palatino Linotype"/>
          <w:sz w:val="21"/>
          <w:szCs w:val="21"/>
        </w:rPr>
        <w:t xml:space="preserve"> breakthrough</w:t>
      </w:r>
      <w:r w:rsidR="00C54165" w:rsidRPr="007D61A7">
        <w:rPr>
          <w:rFonts w:ascii="Palatino Linotype" w:hAnsi="Palatino Linotype"/>
          <w:sz w:val="21"/>
          <w:szCs w:val="21"/>
        </w:rPr>
        <w:t xml:space="preserve"> of the Paris Agreement has been to decentralise focus to cities, </w:t>
      </w:r>
      <w:proofErr w:type="gramStart"/>
      <w:r w:rsidR="00C54165" w:rsidRPr="007D61A7">
        <w:rPr>
          <w:rFonts w:ascii="Palatino Linotype" w:hAnsi="Palatino Linotype"/>
          <w:sz w:val="21"/>
          <w:szCs w:val="21"/>
        </w:rPr>
        <w:t>businesses</w:t>
      </w:r>
      <w:proofErr w:type="gramEnd"/>
      <w:r w:rsidR="00C54165" w:rsidRPr="007D61A7">
        <w:rPr>
          <w:rFonts w:ascii="Palatino Linotype" w:hAnsi="Palatino Linotype"/>
          <w:sz w:val="21"/>
          <w:szCs w:val="21"/>
        </w:rPr>
        <w:t xml:space="preserve"> and sectors - including healthcare - allowing more tailored solutions to emerge from the bottom up</w:t>
      </w:r>
      <w:r w:rsidR="00D17C07" w:rsidRPr="007D61A7">
        <w:rPr>
          <w:rFonts w:ascii="Palatino Linotype" w:hAnsi="Palatino Linotype"/>
          <w:sz w:val="21"/>
          <w:szCs w:val="21"/>
        </w:rPr>
        <w:t xml:space="preserve"> and decreasing dependence on </w:t>
      </w:r>
      <w:r w:rsidR="00750703" w:rsidRPr="007D61A7">
        <w:rPr>
          <w:rFonts w:ascii="Palatino Linotype" w:hAnsi="Palatino Linotype"/>
          <w:sz w:val="21"/>
          <w:szCs w:val="21"/>
        </w:rPr>
        <w:t>political leaders</w:t>
      </w:r>
      <w:r w:rsidR="00D17C07" w:rsidRPr="007D61A7">
        <w:rPr>
          <w:rFonts w:ascii="Palatino Linotype" w:hAnsi="Palatino Linotype"/>
          <w:sz w:val="21"/>
          <w:szCs w:val="21"/>
        </w:rPr>
        <w:t xml:space="preserve"> reaching a </w:t>
      </w:r>
      <w:r w:rsidR="00117BAE" w:rsidRPr="007D61A7">
        <w:rPr>
          <w:rFonts w:ascii="Palatino Linotype" w:hAnsi="Palatino Linotype"/>
          <w:sz w:val="21"/>
          <w:szCs w:val="21"/>
        </w:rPr>
        <w:t>d</w:t>
      </w:r>
      <w:r w:rsidR="00D17C07" w:rsidRPr="007D61A7">
        <w:rPr>
          <w:rFonts w:ascii="Palatino Linotype" w:hAnsi="Palatino Linotype"/>
          <w:sz w:val="21"/>
          <w:szCs w:val="21"/>
        </w:rPr>
        <w:t>eal</w:t>
      </w:r>
      <w:r w:rsidR="00C54165" w:rsidRPr="007D61A7">
        <w:rPr>
          <w:rFonts w:ascii="Palatino Linotype" w:hAnsi="Palatino Linotype"/>
          <w:sz w:val="21"/>
          <w:szCs w:val="21"/>
        </w:rPr>
        <w:t>.</w:t>
      </w:r>
      <w:bookmarkEnd w:id="5"/>
      <w:r w:rsidR="00C54165" w:rsidRPr="007D61A7">
        <w:rPr>
          <w:rFonts w:ascii="Palatino Linotype" w:hAnsi="Palatino Linotype"/>
          <w:sz w:val="21"/>
          <w:szCs w:val="21"/>
        </w:rPr>
        <w:t xml:space="preserve"> </w:t>
      </w:r>
      <w:r w:rsidR="00CB7233" w:rsidRPr="007D61A7">
        <w:rPr>
          <w:rFonts w:ascii="Palatino Linotype" w:hAnsi="Palatino Linotype"/>
          <w:sz w:val="21"/>
          <w:szCs w:val="21"/>
        </w:rPr>
        <w:t xml:space="preserve">Over the last </w:t>
      </w:r>
      <w:r w:rsidR="00D17C07" w:rsidRPr="007D61A7">
        <w:rPr>
          <w:rFonts w:ascii="Palatino Linotype" w:hAnsi="Palatino Linotype"/>
          <w:sz w:val="21"/>
          <w:szCs w:val="21"/>
        </w:rPr>
        <w:t>decade</w:t>
      </w:r>
      <w:r w:rsidR="00CB7233" w:rsidRPr="007D61A7">
        <w:rPr>
          <w:rFonts w:ascii="Palatino Linotype" w:hAnsi="Palatino Linotype"/>
          <w:sz w:val="21"/>
          <w:szCs w:val="21"/>
        </w:rPr>
        <w:t>, the movement to decarbonise healthcare has gained ground</w:t>
      </w:r>
      <w:r w:rsidR="00D17C07" w:rsidRPr="007D61A7">
        <w:rPr>
          <w:rFonts w:ascii="Palatino Linotype" w:hAnsi="Palatino Linotype"/>
          <w:sz w:val="21"/>
          <w:szCs w:val="21"/>
        </w:rPr>
        <w:t xml:space="preserve">, culminating in the launch of the WHO COP26 Health Programme in November 2021, </w:t>
      </w:r>
      <w:r w:rsidR="00750703" w:rsidRPr="007D61A7">
        <w:rPr>
          <w:rFonts w:ascii="Palatino Linotype" w:hAnsi="Palatino Linotype"/>
          <w:sz w:val="21"/>
          <w:szCs w:val="21"/>
        </w:rPr>
        <w:t xml:space="preserve">which calls </w:t>
      </w:r>
      <w:r w:rsidR="00CB7233" w:rsidRPr="007D61A7">
        <w:rPr>
          <w:rFonts w:ascii="Palatino Linotype" w:hAnsi="Palatino Linotype"/>
          <w:sz w:val="21"/>
          <w:szCs w:val="21"/>
        </w:rPr>
        <w:t>for countries to develop low-carbon, sustainable and climate resilient health systems</w:t>
      </w:r>
      <w:r w:rsidRPr="007D61A7">
        <w:rPr>
          <w:rFonts w:ascii="Palatino Linotype" w:hAnsi="Palatino Linotype"/>
          <w:sz w:val="21"/>
          <w:szCs w:val="21"/>
        </w:rPr>
        <w:t>.</w:t>
      </w:r>
      <w:r w:rsidR="00A93BA4" w:rsidRPr="007D61A7">
        <w:rPr>
          <w:rFonts w:ascii="Palatino Linotype" w:hAnsi="Palatino Linotype"/>
          <w:sz w:val="21"/>
          <w:szCs w:val="21"/>
        </w:rPr>
        <w:t xml:space="preserve"> </w:t>
      </w:r>
      <w:r w:rsidR="00C54165" w:rsidRPr="007D61A7">
        <w:rPr>
          <w:rFonts w:ascii="Palatino Linotype" w:hAnsi="Palatino Linotype"/>
          <w:sz w:val="21"/>
          <w:szCs w:val="21"/>
        </w:rPr>
        <w:t>To date 55 countries have signed up</w:t>
      </w:r>
      <w:r w:rsidR="00750703" w:rsidRPr="007D61A7">
        <w:rPr>
          <w:rFonts w:ascii="Palatino Linotype" w:hAnsi="Palatino Linotype"/>
          <w:sz w:val="21"/>
          <w:szCs w:val="21"/>
        </w:rPr>
        <w:t>,</w:t>
      </w:r>
      <w:r w:rsidR="00C54165" w:rsidRPr="007D61A7">
        <w:rPr>
          <w:rFonts w:ascii="Palatino Linotype" w:hAnsi="Palatino Linotype"/>
          <w:sz w:val="21"/>
          <w:szCs w:val="21"/>
        </w:rPr>
        <w:t xml:space="preserve"> with 20 countries setting a specific date to reach net zero healthcare</w:t>
      </w:r>
      <w:r w:rsidR="00750703" w:rsidRPr="007D61A7">
        <w:rPr>
          <w:rFonts w:ascii="Palatino Linotype" w:hAnsi="Palatino Linotype"/>
          <w:sz w:val="21"/>
          <w:szCs w:val="21"/>
        </w:rPr>
        <w:t>, with t</w:t>
      </w:r>
      <w:r w:rsidR="00C54165" w:rsidRPr="007D61A7">
        <w:rPr>
          <w:rFonts w:ascii="Palatino Linotype" w:hAnsi="Palatino Linotype"/>
          <w:sz w:val="21"/>
          <w:szCs w:val="21"/>
        </w:rPr>
        <w:t>he majority of signatories are low- and middle-income countries</w:t>
      </w:r>
      <w:r w:rsidR="00117BAE" w:rsidRPr="007D61A7">
        <w:rPr>
          <w:rFonts w:ascii="Palatino Linotype" w:hAnsi="Palatino Linotype"/>
          <w:sz w:val="21"/>
          <w:szCs w:val="21"/>
        </w:rPr>
        <w:t xml:space="preserve"> </w:t>
      </w:r>
      <w:r w:rsidRPr="007D61A7">
        <w:rPr>
          <w:rFonts w:ascii="Palatino Linotype" w:hAnsi="Palatino Linotype"/>
          <w:sz w:val="21"/>
          <w:szCs w:val="21"/>
        </w:rPr>
        <w:fldChar w:fldCharType="begin"/>
      </w:r>
      <w:r w:rsidRPr="007D61A7">
        <w:rPr>
          <w:rFonts w:ascii="Palatino Linotype" w:hAnsi="Palatino Linotype"/>
          <w:sz w:val="21"/>
          <w:szCs w:val="21"/>
        </w:rPr>
        <w:instrText xml:space="preserve"> ADDIN ZOTERO_ITEM CSL_CITATION {"citationID":"a188p6ltdvi","properties":{"formattedCitation":"(17)","plainCitation":"(17)"},"citationItems":[{"id":1756,"uris":["http://zotero.org/users/6103044/items/46PKR8WL"],"uri":["http://zotero.org/users/6103044/items/46PKR8WL"],"itemData":{"id":1756,"type":"webpage","title":"COP26 Health Programme: Country Commitments","abstract":"The COP26 Health Programme builds support for health leadership and ambition on climate action.","URL":"https://www.who.int/initiatives/alliance-for-transformative-action-on-climate-and-health/country-commitments","author":[{"family":"World Health Organisation","given":""}],"issued":{"date-parts":[["2022"]]}}}],"schema":"https://github.com/citation-style-language/schema/raw/master/csl-citation.json"} </w:instrText>
      </w:r>
      <w:r w:rsidRPr="007D61A7">
        <w:rPr>
          <w:rFonts w:ascii="Palatino Linotype" w:hAnsi="Palatino Linotype"/>
          <w:sz w:val="21"/>
          <w:szCs w:val="21"/>
        </w:rPr>
        <w:fldChar w:fldCharType="separate"/>
      </w:r>
      <w:r w:rsidRPr="007D61A7">
        <w:rPr>
          <w:rFonts w:ascii="Palatino Linotype" w:hAnsi="Palatino Linotype"/>
          <w:sz w:val="21"/>
        </w:rPr>
        <w:t>(17)</w:t>
      </w:r>
      <w:r w:rsidRPr="007D61A7">
        <w:rPr>
          <w:rFonts w:ascii="Palatino Linotype" w:hAnsi="Palatino Linotype"/>
          <w:sz w:val="21"/>
          <w:szCs w:val="21"/>
        </w:rPr>
        <w:fldChar w:fldCharType="end"/>
      </w:r>
      <w:r w:rsidR="00750703" w:rsidRPr="007D61A7">
        <w:rPr>
          <w:rFonts w:ascii="Palatino Linotype" w:hAnsi="Palatino Linotype"/>
          <w:sz w:val="21"/>
          <w:szCs w:val="21"/>
        </w:rPr>
        <w:t>.</w:t>
      </w:r>
      <w:r w:rsidR="00C54165" w:rsidRPr="007D61A7">
        <w:rPr>
          <w:rFonts w:ascii="Palatino Linotype" w:hAnsi="Palatino Linotype"/>
          <w:sz w:val="21"/>
          <w:szCs w:val="21"/>
        </w:rPr>
        <w:t xml:space="preserve"> </w:t>
      </w:r>
      <w:r w:rsidR="00750703" w:rsidRPr="007D61A7">
        <w:rPr>
          <w:rFonts w:ascii="Palatino Linotype" w:hAnsi="Palatino Linotype"/>
          <w:sz w:val="21"/>
          <w:szCs w:val="21"/>
        </w:rPr>
        <w:t>This reflects a mis-match</w:t>
      </w:r>
      <w:r w:rsidR="00117BAE" w:rsidRPr="007D61A7">
        <w:rPr>
          <w:rFonts w:ascii="Palatino Linotype" w:hAnsi="Palatino Linotype"/>
          <w:sz w:val="21"/>
          <w:szCs w:val="21"/>
        </w:rPr>
        <w:t xml:space="preserve"> given</w:t>
      </w:r>
      <w:r w:rsidR="00750703" w:rsidRPr="007D61A7">
        <w:rPr>
          <w:rFonts w:ascii="Palatino Linotype" w:hAnsi="Palatino Linotype"/>
          <w:sz w:val="21"/>
          <w:szCs w:val="21"/>
        </w:rPr>
        <w:t xml:space="preserve"> low- and middle-income countries are at</w:t>
      </w:r>
      <w:r w:rsidR="00C54165" w:rsidRPr="007D61A7">
        <w:rPr>
          <w:rFonts w:ascii="Palatino Linotype" w:hAnsi="Palatino Linotype"/>
          <w:sz w:val="21"/>
          <w:szCs w:val="21"/>
        </w:rPr>
        <w:t xml:space="preserve"> highest risk from the health impacts of climate change, while the </w:t>
      </w:r>
      <w:r w:rsidR="00750703" w:rsidRPr="007D61A7">
        <w:rPr>
          <w:rFonts w:ascii="Palatino Linotype" w:hAnsi="Palatino Linotype"/>
          <w:sz w:val="21"/>
          <w:szCs w:val="21"/>
        </w:rPr>
        <w:t xml:space="preserve">most </w:t>
      </w:r>
      <w:r w:rsidR="00C54165" w:rsidRPr="007D61A7">
        <w:rPr>
          <w:rFonts w:ascii="Palatino Linotype" w:hAnsi="Palatino Linotype"/>
          <w:sz w:val="21"/>
          <w:szCs w:val="21"/>
        </w:rPr>
        <w:t>pollut</w:t>
      </w:r>
      <w:r w:rsidR="00750703" w:rsidRPr="007D61A7">
        <w:rPr>
          <w:rFonts w:ascii="Palatino Linotype" w:hAnsi="Palatino Linotype"/>
          <w:sz w:val="21"/>
          <w:szCs w:val="21"/>
        </w:rPr>
        <w:t xml:space="preserve">ing healthcare systems </w:t>
      </w:r>
      <w:r w:rsidR="00C54165" w:rsidRPr="007D61A7">
        <w:rPr>
          <w:rFonts w:ascii="Palatino Linotype" w:hAnsi="Palatino Linotype"/>
          <w:sz w:val="21"/>
          <w:szCs w:val="21"/>
        </w:rPr>
        <w:t xml:space="preserve">are </w:t>
      </w:r>
      <w:r w:rsidR="00750703" w:rsidRPr="007D61A7">
        <w:rPr>
          <w:rFonts w:ascii="Palatino Linotype" w:hAnsi="Palatino Linotype"/>
          <w:sz w:val="21"/>
          <w:szCs w:val="21"/>
        </w:rPr>
        <w:t xml:space="preserve">in </w:t>
      </w:r>
      <w:r w:rsidR="00C54165" w:rsidRPr="007D61A7">
        <w:rPr>
          <w:rFonts w:ascii="Palatino Linotype" w:hAnsi="Palatino Linotype"/>
          <w:sz w:val="21"/>
          <w:szCs w:val="21"/>
        </w:rPr>
        <w:t>high-income countries</w:t>
      </w:r>
      <w:r w:rsidR="00C54165" w:rsidRPr="007D61A7">
        <w:rPr>
          <w:rFonts w:ascii="Palatino Linotype" w:hAnsi="Palatino Linotype"/>
          <w:sz w:val="21"/>
          <w:szCs w:val="21"/>
        </w:rPr>
        <w:fldChar w:fldCharType="begin"/>
      </w:r>
      <w:r w:rsidRPr="007D61A7">
        <w:rPr>
          <w:rFonts w:ascii="Palatino Linotype" w:hAnsi="Palatino Linotype"/>
          <w:sz w:val="21"/>
          <w:szCs w:val="21"/>
        </w:rPr>
        <w:instrText xml:space="preserve"> ADDIN ZOTERO_ITEM CSL_CITATION {"citationID":"aFzslWQG","properties":{"formattedCitation":"(17)","plainCitation":"(17)"},"citationItems":[{"id":1756,"uris":["http://zotero.org/users/6103044/items/46PKR8WL"],"uri":["http://zotero.org/users/6103044/items/46PKR8WL"],"itemData":{"id":1756,"type":"webpage","title":"COP26 Health Programme: Country Commitments","abstract":"The COP26 Health Programme builds support for health leadership and ambition on climate action.","URL":"https://www.who.int/initiatives/alliance-for-transformative-action-on-climate-and-health/country-commitments","author":[{"family":"World Health Organisation","given":""}],"issued":{"date-parts":[["2022"]]}}}],"schema":"https://github.com/citation-style-language/schema/raw/master/csl-citation.json"} </w:instrText>
      </w:r>
      <w:r w:rsidR="00971C5B">
        <w:rPr>
          <w:rFonts w:ascii="Palatino Linotype" w:hAnsi="Palatino Linotype"/>
          <w:sz w:val="21"/>
          <w:szCs w:val="21"/>
        </w:rPr>
        <w:fldChar w:fldCharType="separate"/>
      </w:r>
      <w:r w:rsidR="00C54165" w:rsidRPr="007D61A7">
        <w:rPr>
          <w:rFonts w:ascii="Palatino Linotype" w:hAnsi="Palatino Linotype"/>
          <w:sz w:val="21"/>
          <w:szCs w:val="21"/>
        </w:rPr>
        <w:fldChar w:fldCharType="end"/>
      </w:r>
      <w:r w:rsidR="00C54165" w:rsidRPr="007D61A7">
        <w:rPr>
          <w:rFonts w:ascii="Palatino Linotype" w:hAnsi="Palatino Linotype"/>
          <w:sz w:val="21"/>
          <w:szCs w:val="21"/>
        </w:rPr>
        <w:t xml:space="preserve"> </w:t>
      </w:r>
      <w:r w:rsidR="00CB7233" w:rsidRPr="007D61A7">
        <w:rPr>
          <w:rFonts w:ascii="Palatino Linotype" w:hAnsi="Palatino Linotype"/>
          <w:sz w:val="21"/>
          <w:szCs w:val="21"/>
        </w:rPr>
        <w:t>(Figure 2)</w:t>
      </w:r>
      <w:r w:rsidR="00C54165" w:rsidRPr="007D61A7">
        <w:rPr>
          <w:rFonts w:ascii="Palatino Linotype" w:hAnsi="Palatino Linotype"/>
          <w:sz w:val="21"/>
          <w:szCs w:val="21"/>
        </w:rPr>
        <w:t xml:space="preserve">. </w:t>
      </w:r>
      <w:bookmarkStart w:id="6" w:name="_Hlk124244669"/>
    </w:p>
    <w:p w14:paraId="781B5A13" w14:textId="48861E72" w:rsidR="00CB7233" w:rsidRPr="007D61A7" w:rsidRDefault="00CB7233" w:rsidP="00D17C07">
      <w:pPr>
        <w:spacing w:after="0" w:line="360" w:lineRule="auto"/>
        <w:jc w:val="center"/>
        <w:rPr>
          <w:rFonts w:ascii="Palatino Linotype" w:hAnsi="Palatino Linotype"/>
          <w:sz w:val="21"/>
          <w:szCs w:val="21"/>
        </w:rPr>
      </w:pPr>
      <w:r w:rsidRPr="007D61A7">
        <w:rPr>
          <w:rFonts w:ascii="Palatino Linotype" w:hAnsi="Palatino Linotype"/>
          <w:noProof/>
          <w:sz w:val="21"/>
          <w:szCs w:val="21"/>
        </w:rPr>
        <w:drawing>
          <wp:inline distT="0" distB="0" distL="0" distR="0" wp14:anchorId="5C4AC8F7" wp14:editId="31C8683D">
            <wp:extent cx="4740036" cy="2905571"/>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4565" cy="2908347"/>
                    </a:xfrm>
                    <a:prstGeom prst="rect">
                      <a:avLst/>
                    </a:prstGeom>
                  </pic:spPr>
                </pic:pic>
              </a:graphicData>
            </a:graphic>
          </wp:inline>
        </w:drawing>
      </w:r>
    </w:p>
    <w:p w14:paraId="346EF752" w14:textId="58B6CCDF" w:rsidR="00CB7233" w:rsidRPr="007D61A7" w:rsidRDefault="00CB7233" w:rsidP="00D17C07">
      <w:pPr>
        <w:pStyle w:val="Caption"/>
        <w:spacing w:line="360" w:lineRule="auto"/>
      </w:pPr>
      <w:r w:rsidRPr="007D61A7">
        <w:t>Fig 2 - Average healthcare carbon emissions per capita and unmet healthcare need by World Bank region (</w:t>
      </w:r>
      <w:r w:rsidR="00050F39" w:rsidRPr="007D61A7">
        <w:t xml:space="preserve">Figure from </w:t>
      </w:r>
      <w:r w:rsidR="00050F39" w:rsidRPr="007D61A7">
        <w:fldChar w:fldCharType="begin"/>
      </w:r>
      <w:r w:rsidR="00050F39" w:rsidRPr="007D61A7">
        <w:instrText xml:space="preserve"> ADDIN ZOTERO_ITEM CSL_CITATION {"citationID":"a23ghsraogv","properties":{"formattedCitation":"(18)","plainCitation":"(18)"},"citationItems":[{"id":1494,"uris":["http://zotero.org/users/6103044/items/RT65N98F"],"uri":["http://zotero.org/users/6103044/items/RT65N98F"],"itemData":{"id":1494,"type":"article-journal","title":"Priority setting and net zero healthcare: how much health can a tonne of carbon buy?","container-title":"BMJ","page":"e067199","volume":"375","source":"www.bmj.com","abstract":"&lt;p&gt;Cutting carbon emissions in healthcare requires trade-offs for clinicians, administrators, and global health policy makers and must be included when evaluating interventions, argue &lt;b&gt;Anand Bhopal&lt;/b&gt; and &lt;b&gt;Ole F Norheim&lt;/b&gt;&lt;/p&gt;","URL":"https://www.bmj.com/content/375/bmj-2021-067199","DOI":"10.1136/bmj-2021-067199","ISSN":"1756-1833","note":"PMID: 34711584","shortTitle":"Priority setting and net zero healthcare","journalAbbreviation":"BMJ","language":"en","author":[{"family":"Bhopal","given":"Anand"},{"family":"Norheim","given":"Ole F."}],"issued":{"date-parts":[["2021",10,28]]}}}],"schema":"https://github.com/citation-style-language/schema/raw/master/csl-citation.json"} </w:instrText>
      </w:r>
      <w:r w:rsidR="00050F39" w:rsidRPr="007D61A7">
        <w:fldChar w:fldCharType="separate"/>
      </w:r>
      <w:r w:rsidR="00050F39" w:rsidRPr="007D61A7">
        <w:t>(18)</w:t>
      </w:r>
      <w:r w:rsidR="00050F39" w:rsidRPr="007D61A7">
        <w:fldChar w:fldCharType="end"/>
      </w:r>
      <w:r w:rsidRPr="007D61A7">
        <w:t xml:space="preserve">). </w:t>
      </w:r>
    </w:p>
    <w:p w14:paraId="70B3729E" w14:textId="77777777" w:rsidR="00817420" w:rsidRPr="007D61A7" w:rsidRDefault="00133EB7" w:rsidP="00D17C07">
      <w:pPr>
        <w:spacing w:before="100" w:beforeAutospacing="1" w:after="100" w:afterAutospacing="1" w:line="360" w:lineRule="auto"/>
        <w:rPr>
          <w:rFonts w:ascii="Palatino Linotype" w:hAnsi="Palatino Linotype"/>
          <w:sz w:val="21"/>
          <w:szCs w:val="21"/>
        </w:rPr>
      </w:pPr>
      <w:r w:rsidRPr="007D61A7">
        <w:rPr>
          <w:rFonts w:ascii="Palatino Linotype" w:eastAsia="Times New Roman" w:hAnsi="Palatino Linotype" w:cs="Times New Roman"/>
          <w:color w:val="000000"/>
          <w:kern w:val="36"/>
          <w:sz w:val="21"/>
          <w:szCs w:val="21"/>
          <w:lang w:eastAsia="nb-NO"/>
        </w:rPr>
        <w:t>I</w:t>
      </w:r>
      <w:r w:rsidR="00D17C07" w:rsidRPr="007D61A7">
        <w:rPr>
          <w:rFonts w:ascii="Palatino Linotype" w:eastAsia="Times New Roman" w:hAnsi="Palatino Linotype" w:cs="Times New Roman"/>
          <w:color w:val="000000"/>
          <w:kern w:val="36"/>
          <w:sz w:val="21"/>
          <w:szCs w:val="21"/>
          <w:lang w:eastAsia="nb-NO"/>
        </w:rPr>
        <w:t>nequalities between and within countries are stark</w:t>
      </w:r>
      <w:r w:rsidRPr="007D61A7">
        <w:rPr>
          <w:rFonts w:ascii="Palatino Linotype" w:eastAsia="Times New Roman" w:hAnsi="Palatino Linotype" w:cs="Times New Roman"/>
          <w:color w:val="000000"/>
          <w:kern w:val="36"/>
          <w:sz w:val="21"/>
          <w:szCs w:val="21"/>
          <w:lang w:eastAsia="nb-NO"/>
        </w:rPr>
        <w:t xml:space="preserve"> and a</w:t>
      </w:r>
      <w:r w:rsidR="00BD385B" w:rsidRPr="007D61A7">
        <w:rPr>
          <w:rFonts w:ascii="Palatino Linotype" w:eastAsia="Times New Roman" w:hAnsi="Palatino Linotype" w:cs="Times New Roman"/>
          <w:color w:val="000000"/>
          <w:kern w:val="36"/>
          <w:sz w:val="21"/>
          <w:szCs w:val="21"/>
          <w:lang w:eastAsia="nb-NO"/>
        </w:rPr>
        <w:t xml:space="preserve"> lot</w:t>
      </w:r>
      <w:r w:rsidR="00363F0C" w:rsidRPr="007D61A7">
        <w:rPr>
          <w:rFonts w:ascii="Palatino Linotype" w:eastAsia="Times New Roman" w:hAnsi="Palatino Linotype" w:cs="Times New Roman"/>
          <w:color w:val="000000"/>
          <w:kern w:val="36"/>
          <w:sz w:val="21"/>
          <w:szCs w:val="21"/>
          <w:lang w:eastAsia="nb-NO"/>
        </w:rPr>
        <w:t xml:space="preserve"> needs to be done to provide even basic healthcare for all</w:t>
      </w:r>
      <w:r w:rsidRPr="007D61A7">
        <w:rPr>
          <w:rFonts w:ascii="Palatino Linotype" w:eastAsia="Times New Roman" w:hAnsi="Palatino Linotype" w:cs="Times New Roman"/>
          <w:color w:val="000000"/>
          <w:kern w:val="36"/>
          <w:sz w:val="21"/>
          <w:szCs w:val="21"/>
          <w:lang w:eastAsia="nb-NO"/>
        </w:rPr>
        <w:t>, notwithstanding cutting emissions</w:t>
      </w:r>
      <w:r w:rsidR="00363F0C" w:rsidRPr="007D61A7">
        <w:rPr>
          <w:rFonts w:ascii="Palatino Linotype" w:eastAsia="Times New Roman" w:hAnsi="Palatino Linotype" w:cs="Times New Roman"/>
          <w:color w:val="000000"/>
          <w:kern w:val="36"/>
          <w:sz w:val="21"/>
          <w:szCs w:val="21"/>
          <w:lang w:eastAsia="nb-NO"/>
        </w:rPr>
        <w:t xml:space="preserve">. </w:t>
      </w:r>
      <w:r w:rsidR="00D17C07" w:rsidRPr="007D61A7">
        <w:rPr>
          <w:rFonts w:ascii="Palatino Linotype" w:eastAsia="Times New Roman" w:hAnsi="Palatino Linotype" w:cs="Times New Roman"/>
          <w:color w:val="000000"/>
          <w:kern w:val="36"/>
          <w:sz w:val="21"/>
          <w:szCs w:val="21"/>
          <w:lang w:eastAsia="nb-NO"/>
        </w:rPr>
        <w:t>F</w:t>
      </w:r>
      <w:r w:rsidR="002641A2" w:rsidRPr="007D61A7">
        <w:rPr>
          <w:rFonts w:ascii="Palatino Linotype" w:eastAsia="Times New Roman" w:hAnsi="Palatino Linotype" w:cs="Times New Roman"/>
          <w:color w:val="000000"/>
          <w:kern w:val="36"/>
          <w:sz w:val="21"/>
          <w:szCs w:val="21"/>
          <w:lang w:eastAsia="nb-NO"/>
        </w:rPr>
        <w:t xml:space="preserve">or example, </w:t>
      </w:r>
      <w:r w:rsidR="00363F0C" w:rsidRPr="007D61A7">
        <w:rPr>
          <w:rFonts w:ascii="Palatino Linotype" w:eastAsia="Times New Roman" w:hAnsi="Palatino Linotype" w:cs="Times New Roman"/>
          <w:color w:val="000000"/>
          <w:kern w:val="36"/>
          <w:sz w:val="21"/>
          <w:szCs w:val="21"/>
          <w:lang w:eastAsia="nb-NO"/>
        </w:rPr>
        <w:t xml:space="preserve">at present </w:t>
      </w:r>
      <w:r w:rsidR="002641A2" w:rsidRPr="007D61A7">
        <w:rPr>
          <w:rFonts w:ascii="Palatino Linotype" w:hAnsi="Palatino Linotype"/>
          <w:sz w:val="21"/>
          <w:szCs w:val="21"/>
        </w:rPr>
        <w:t xml:space="preserve">only </w:t>
      </w:r>
      <w:r w:rsidR="00050F39" w:rsidRPr="007D61A7">
        <w:rPr>
          <w:rFonts w:ascii="Palatino Linotype" w:hAnsi="Palatino Linotype"/>
          <w:sz w:val="21"/>
          <w:szCs w:val="21"/>
        </w:rPr>
        <w:t>40</w:t>
      </w:r>
      <w:r w:rsidR="002641A2" w:rsidRPr="007D61A7">
        <w:rPr>
          <w:rFonts w:ascii="Palatino Linotype" w:hAnsi="Palatino Linotype"/>
          <w:sz w:val="21"/>
          <w:szCs w:val="21"/>
        </w:rPr>
        <w:t>%</w:t>
      </w:r>
      <w:r w:rsidR="00817420" w:rsidRPr="007D61A7">
        <w:rPr>
          <w:rFonts w:ascii="Palatino Linotype" w:hAnsi="Palatino Linotype"/>
          <w:sz w:val="21"/>
          <w:szCs w:val="21"/>
        </w:rPr>
        <w:t>-72%</w:t>
      </w:r>
      <w:r w:rsidR="002641A2" w:rsidRPr="007D61A7">
        <w:rPr>
          <w:rFonts w:ascii="Palatino Linotype" w:hAnsi="Palatino Linotype"/>
          <w:sz w:val="21"/>
          <w:szCs w:val="21"/>
        </w:rPr>
        <w:t xml:space="preserve"> of health facilities in </w:t>
      </w:r>
      <w:r w:rsidR="00817420" w:rsidRPr="007D61A7">
        <w:rPr>
          <w:rFonts w:ascii="Palatino Linotype" w:hAnsi="Palatino Linotype"/>
          <w:sz w:val="21"/>
          <w:szCs w:val="21"/>
        </w:rPr>
        <w:t>low- and middle-income countries</w:t>
      </w:r>
      <w:r w:rsidR="002641A2" w:rsidRPr="007D61A7">
        <w:rPr>
          <w:rFonts w:ascii="Palatino Linotype" w:hAnsi="Palatino Linotype"/>
          <w:sz w:val="21"/>
          <w:szCs w:val="21"/>
        </w:rPr>
        <w:t xml:space="preserve"> have reliable electricity</w:t>
      </w:r>
      <w:r w:rsidRPr="007D61A7">
        <w:rPr>
          <w:rFonts w:ascii="Palatino Linotype" w:hAnsi="Palatino Linotype"/>
          <w:sz w:val="21"/>
          <w:szCs w:val="21"/>
        </w:rPr>
        <w:t xml:space="preserve"> </w:t>
      </w:r>
      <w:r w:rsidR="002641A2" w:rsidRPr="007D61A7">
        <w:rPr>
          <w:rFonts w:ascii="Palatino Linotype" w:hAnsi="Palatino Linotype"/>
          <w:sz w:val="21"/>
          <w:szCs w:val="21"/>
        </w:rPr>
        <w:t>and</w:t>
      </w:r>
      <w:r w:rsidR="00050F39" w:rsidRPr="007D61A7">
        <w:rPr>
          <w:rFonts w:ascii="Palatino Linotype" w:hAnsi="Palatino Linotype"/>
          <w:sz w:val="21"/>
          <w:szCs w:val="21"/>
        </w:rPr>
        <w:t xml:space="preserve"> </w:t>
      </w:r>
      <w:r w:rsidR="002641A2" w:rsidRPr="007D61A7">
        <w:rPr>
          <w:rFonts w:ascii="Palatino Linotype" w:hAnsi="Palatino Linotype"/>
          <w:sz w:val="21"/>
          <w:szCs w:val="21"/>
        </w:rPr>
        <w:t xml:space="preserve">health </w:t>
      </w:r>
      <w:r w:rsidR="002641A2" w:rsidRPr="007D61A7">
        <w:rPr>
          <w:rFonts w:ascii="Palatino Linotype" w:hAnsi="Palatino Linotype"/>
          <w:sz w:val="21"/>
          <w:szCs w:val="21"/>
        </w:rPr>
        <w:lastRenderedPageBreak/>
        <w:t>facilities serving a billion people</w:t>
      </w:r>
      <w:r w:rsidRPr="007D61A7">
        <w:rPr>
          <w:rFonts w:ascii="Palatino Linotype" w:hAnsi="Palatino Linotype"/>
          <w:sz w:val="21"/>
          <w:szCs w:val="21"/>
        </w:rPr>
        <w:t xml:space="preserve"> </w:t>
      </w:r>
      <w:r w:rsidR="002641A2" w:rsidRPr="007D61A7">
        <w:rPr>
          <w:rFonts w:ascii="Palatino Linotype" w:hAnsi="Palatino Linotype"/>
          <w:sz w:val="21"/>
          <w:szCs w:val="21"/>
        </w:rPr>
        <w:t xml:space="preserve">have no electricity at all </w:t>
      </w:r>
      <w:r w:rsidR="00817420" w:rsidRPr="007D61A7">
        <w:rPr>
          <w:rFonts w:ascii="Palatino Linotype" w:hAnsi="Palatino Linotype"/>
          <w:sz w:val="21"/>
          <w:szCs w:val="21"/>
        </w:rPr>
        <w:fldChar w:fldCharType="begin"/>
      </w:r>
      <w:r w:rsidR="00817420" w:rsidRPr="007D61A7">
        <w:rPr>
          <w:rFonts w:ascii="Palatino Linotype" w:hAnsi="Palatino Linotype"/>
          <w:sz w:val="21"/>
          <w:szCs w:val="21"/>
        </w:rPr>
        <w:instrText xml:space="preserve"> ADDIN ZOTERO_ITEM CSL_CITATION {"citationID":"a2n2m6oghu2","properties":{"formattedCitation":"(19)","plainCitation":"(19)"},"citationItems":[{"id":2251,"uris":["http://zotero.org/users/6103044/items/UWZB9X68"],"uri":["http://zotero.org/users/6103044/items/UWZB9X68"],"itemData":{"id":2251,"type":"report","title":"Energizing health: accelerating electricity access in health-care facilities","publisher-place":"Geneva","event-place":"Geneva","URL":"https://www.who.int/publications/i/item/energizing-health--accelerating-electricity-access-in-health-care-facilities","author":[{"family":"WHO","given":""}],"issued":{"date-parts":[["2023"]]}}}],"schema":"https://github.com/citation-style-language/schema/raw/master/csl-citation.json"} </w:instrText>
      </w:r>
      <w:r w:rsidR="00817420" w:rsidRPr="007D61A7">
        <w:rPr>
          <w:rFonts w:ascii="Palatino Linotype" w:hAnsi="Palatino Linotype"/>
          <w:sz w:val="21"/>
          <w:szCs w:val="21"/>
        </w:rPr>
        <w:fldChar w:fldCharType="separate"/>
      </w:r>
      <w:r w:rsidR="00817420" w:rsidRPr="007D61A7">
        <w:rPr>
          <w:rFonts w:ascii="Palatino Linotype" w:hAnsi="Palatino Linotype"/>
          <w:sz w:val="21"/>
        </w:rPr>
        <w:t>(19)</w:t>
      </w:r>
      <w:r w:rsidR="00817420" w:rsidRPr="007D61A7">
        <w:rPr>
          <w:rFonts w:ascii="Palatino Linotype" w:hAnsi="Palatino Linotype"/>
          <w:sz w:val="21"/>
          <w:szCs w:val="21"/>
        </w:rPr>
        <w:fldChar w:fldCharType="end"/>
      </w:r>
      <w:r w:rsidR="00817420" w:rsidRPr="007D61A7">
        <w:rPr>
          <w:rFonts w:ascii="Palatino Linotype" w:hAnsi="Palatino Linotype"/>
          <w:sz w:val="21"/>
          <w:szCs w:val="21"/>
        </w:rPr>
        <w:t xml:space="preserve">. </w:t>
      </w:r>
      <w:r w:rsidR="00BD385B" w:rsidRPr="007D61A7">
        <w:rPr>
          <w:rFonts w:ascii="Palatino Linotype" w:hAnsi="Palatino Linotype"/>
          <w:sz w:val="21"/>
          <w:szCs w:val="21"/>
        </w:rPr>
        <w:t>Though</w:t>
      </w:r>
      <w:r w:rsidR="0008266D" w:rsidRPr="007D61A7">
        <w:rPr>
          <w:rFonts w:ascii="Palatino Linotype" w:hAnsi="Palatino Linotype"/>
          <w:sz w:val="21"/>
          <w:szCs w:val="21"/>
        </w:rPr>
        <w:t xml:space="preserve"> technically </w:t>
      </w:r>
      <w:proofErr w:type="gramStart"/>
      <w:r w:rsidR="0008266D" w:rsidRPr="007D61A7">
        <w:rPr>
          <w:rFonts w:ascii="Palatino Linotype" w:hAnsi="Palatino Linotype"/>
          <w:sz w:val="21"/>
          <w:szCs w:val="21"/>
        </w:rPr>
        <w:t>low-carbon</w:t>
      </w:r>
      <w:proofErr w:type="gramEnd"/>
      <w:r w:rsidR="0008266D" w:rsidRPr="007D61A7">
        <w:rPr>
          <w:rFonts w:ascii="Palatino Linotype" w:hAnsi="Palatino Linotype"/>
          <w:sz w:val="21"/>
          <w:szCs w:val="21"/>
        </w:rPr>
        <w:t xml:space="preserve">, </w:t>
      </w:r>
      <w:r w:rsidR="00363F0C" w:rsidRPr="007D61A7">
        <w:rPr>
          <w:rFonts w:ascii="Palatino Linotype" w:hAnsi="Palatino Linotype"/>
          <w:sz w:val="21"/>
          <w:szCs w:val="21"/>
        </w:rPr>
        <w:t xml:space="preserve">this is </w:t>
      </w:r>
      <w:r w:rsidR="00BD385B" w:rsidRPr="007D61A7">
        <w:rPr>
          <w:rFonts w:ascii="Palatino Linotype" w:hAnsi="Palatino Linotype"/>
          <w:sz w:val="21"/>
          <w:szCs w:val="21"/>
        </w:rPr>
        <w:t xml:space="preserve">medically hazardous and </w:t>
      </w:r>
      <w:r w:rsidR="0008266D" w:rsidRPr="007D61A7">
        <w:rPr>
          <w:rFonts w:ascii="Palatino Linotype" w:hAnsi="Palatino Linotype"/>
          <w:sz w:val="21"/>
          <w:szCs w:val="21"/>
        </w:rPr>
        <w:t xml:space="preserve">morally unacceptable. </w:t>
      </w:r>
      <w:r w:rsidR="002641A2" w:rsidRPr="007D61A7">
        <w:rPr>
          <w:rFonts w:ascii="Palatino Linotype" w:hAnsi="Palatino Linotype"/>
          <w:sz w:val="21"/>
          <w:szCs w:val="21"/>
        </w:rPr>
        <w:t xml:space="preserve">At COP27 international agencies committed to </w:t>
      </w:r>
      <w:r w:rsidR="00BD385B" w:rsidRPr="007D61A7">
        <w:rPr>
          <w:rFonts w:ascii="Palatino Linotype" w:hAnsi="Palatino Linotype"/>
          <w:sz w:val="21"/>
          <w:szCs w:val="21"/>
        </w:rPr>
        <w:t xml:space="preserve">support </w:t>
      </w:r>
      <w:r w:rsidR="002641A2" w:rsidRPr="007D61A7">
        <w:rPr>
          <w:rFonts w:ascii="Palatino Linotype" w:hAnsi="Palatino Linotype"/>
          <w:sz w:val="21"/>
          <w:szCs w:val="21"/>
        </w:rPr>
        <w:t>electrifying 100,000 health facilities by 2030 which, though an important step,</w:t>
      </w:r>
      <w:r w:rsidR="0008266D" w:rsidRPr="007D61A7">
        <w:rPr>
          <w:rFonts w:ascii="Palatino Linotype" w:hAnsi="Palatino Linotype"/>
          <w:sz w:val="21"/>
          <w:szCs w:val="21"/>
        </w:rPr>
        <w:t xml:space="preserve"> still</w:t>
      </w:r>
      <w:r w:rsidR="002641A2" w:rsidRPr="007D61A7">
        <w:rPr>
          <w:rFonts w:ascii="Palatino Linotype" w:hAnsi="Palatino Linotype"/>
          <w:sz w:val="21"/>
          <w:szCs w:val="21"/>
        </w:rPr>
        <w:t xml:space="preserve"> represents a fraction of the 415,000 new health facilities estimated to be needed to achieve </w:t>
      </w:r>
      <w:r w:rsidR="0008266D" w:rsidRPr="007D61A7">
        <w:rPr>
          <w:rFonts w:ascii="Palatino Linotype" w:hAnsi="Palatino Linotype"/>
          <w:sz w:val="21"/>
          <w:szCs w:val="21"/>
        </w:rPr>
        <w:t xml:space="preserve">SDG </w:t>
      </w:r>
      <w:r w:rsidR="002641A2" w:rsidRPr="007D61A7">
        <w:rPr>
          <w:rFonts w:ascii="Palatino Linotype" w:hAnsi="Palatino Linotype"/>
          <w:sz w:val="21"/>
          <w:szCs w:val="21"/>
        </w:rPr>
        <w:t>3</w:t>
      </w:r>
      <w:r w:rsidRPr="007D61A7">
        <w:rPr>
          <w:rFonts w:ascii="Palatino Linotype" w:hAnsi="Palatino Linotype"/>
          <w:sz w:val="21"/>
          <w:szCs w:val="21"/>
        </w:rPr>
        <w:t xml:space="preserve">. </w:t>
      </w:r>
      <w:r w:rsidR="00817420" w:rsidRPr="007D61A7">
        <w:rPr>
          <w:rFonts w:ascii="Palatino Linotype" w:hAnsi="Palatino Linotype"/>
          <w:sz w:val="21"/>
          <w:szCs w:val="21"/>
        </w:rPr>
        <w:t xml:space="preserve">The process of electrifying health facilities represents a vital opportunity to install renewable energy capacity and avoid high-carbon lock in further down the line; fair financing to support this investment is critical. </w:t>
      </w:r>
    </w:p>
    <w:p w14:paraId="6283D270" w14:textId="34E6466B" w:rsidR="004A4A4A" w:rsidRPr="007D61A7" w:rsidRDefault="00133EB7" w:rsidP="004A4A4A">
      <w:pPr>
        <w:spacing w:before="100" w:beforeAutospacing="1" w:after="100" w:afterAutospacing="1" w:line="360" w:lineRule="auto"/>
        <w:rPr>
          <w:rStyle w:val="Hyperlink"/>
          <w:rFonts w:ascii="Palatino Linotype" w:hAnsi="Palatino Linotype"/>
          <w:color w:val="auto"/>
          <w:sz w:val="21"/>
          <w:szCs w:val="21"/>
          <w:u w:val="none"/>
        </w:rPr>
      </w:pPr>
      <w:r w:rsidRPr="007D61A7">
        <w:rPr>
          <w:rFonts w:ascii="Palatino Linotype" w:hAnsi="Palatino Linotype"/>
          <w:sz w:val="21"/>
          <w:szCs w:val="21"/>
        </w:rPr>
        <w:t>By contrast</w:t>
      </w:r>
      <w:r w:rsidR="00363F0C" w:rsidRPr="007D61A7">
        <w:rPr>
          <w:rFonts w:ascii="Palatino Linotype" w:hAnsi="Palatino Linotype"/>
          <w:sz w:val="21"/>
          <w:szCs w:val="21"/>
        </w:rPr>
        <w:t xml:space="preserve">, carbon emissions in the European Union associated with healthcare overconsumption (i.e. </w:t>
      </w:r>
      <w:r w:rsidR="00363F0C" w:rsidRPr="007D61A7">
        <w:rPr>
          <w:rFonts w:ascii="Palatino Linotype" w:hAnsi="Palatino Linotype"/>
        </w:rPr>
        <w:t xml:space="preserve">healthcare with no clinical benefit) have been estimated to exceed </w:t>
      </w:r>
      <w:r w:rsidR="00363F0C" w:rsidRPr="007D61A7">
        <w:rPr>
          <w:rFonts w:ascii="Palatino Linotype" w:hAnsi="Palatino Linotype"/>
          <w:i/>
          <w:iCs/>
        </w:rPr>
        <w:t>total</w:t>
      </w:r>
      <w:r w:rsidR="00363F0C" w:rsidRPr="007D61A7">
        <w:rPr>
          <w:rFonts w:ascii="Palatino Linotype" w:hAnsi="Palatino Linotype"/>
        </w:rPr>
        <w:t xml:space="preserve"> healthcare carbon emissions in sub-Saharan Africa, a region double </w:t>
      </w:r>
      <w:r w:rsidR="00817420" w:rsidRPr="007D61A7">
        <w:rPr>
          <w:rFonts w:ascii="Palatino Linotype" w:hAnsi="Palatino Linotype"/>
        </w:rPr>
        <w:t>its</w:t>
      </w:r>
      <w:r w:rsidR="00363F0C" w:rsidRPr="007D61A7">
        <w:rPr>
          <w:rFonts w:ascii="Palatino Linotype" w:hAnsi="Palatino Linotype"/>
        </w:rPr>
        <w:t xml:space="preserve"> population size </w:t>
      </w:r>
      <w:r w:rsidR="00817420" w:rsidRPr="007D61A7">
        <w:rPr>
          <w:rFonts w:ascii="Palatino Linotype" w:hAnsi="Palatino Linotype"/>
        </w:rPr>
        <w:fldChar w:fldCharType="begin"/>
      </w:r>
      <w:r w:rsidR="00817420" w:rsidRPr="007D61A7">
        <w:rPr>
          <w:rFonts w:ascii="Palatino Linotype" w:hAnsi="Palatino Linotype"/>
        </w:rPr>
        <w:instrText xml:space="preserve"> ADDIN ZOTERO_ITEM CSL_CITATION {"citationID":"a1gp2g8kf7m","properties":{"formattedCitation":"(18)","plainCitation":"(18)"},"citationItems":[{"id":1494,"uris":["http://zotero.org/users/6103044/items/RT65N98F"],"uri":["http://zotero.org/users/6103044/items/RT65N98F"],"itemData":{"id":1494,"type":"article-journal","title":"Priority setting and net zero healthcare: how much health can a tonne of carbon buy?","container-title":"BMJ","page":"e067199","volume":"375","source":"www.bmj.com","abstract":"&lt;p&gt;Cutting carbon emissions in healthcare requires trade-offs for clinicians, administrators, and global health policy makers and must be included when evaluating interventions, argue &lt;b&gt;Anand Bhopal&lt;/b&gt; and &lt;b&gt;Ole F Norheim&lt;/b&gt;&lt;/p&gt;","URL":"https://www.bmj.com/content/375/bmj-2021-067199","DOI":"10.1136/bmj-2021-067199","ISSN":"1756-1833","note":"PMID: 34711584","shortTitle":"Priority setting and net zero healthcare","journalAbbreviation":"BMJ","language":"en","author":[{"family":"Bhopal","given":"Anand"},{"family":"Norheim","given":"Ole F."}],"issued":{"date-parts":[["2021",10,28]]}}}],"schema":"https://github.com/citation-style-language/schema/raw/master/csl-citation.json"} </w:instrText>
      </w:r>
      <w:r w:rsidR="00817420" w:rsidRPr="007D61A7">
        <w:rPr>
          <w:rFonts w:ascii="Palatino Linotype" w:hAnsi="Palatino Linotype"/>
        </w:rPr>
        <w:fldChar w:fldCharType="separate"/>
      </w:r>
      <w:r w:rsidR="00817420" w:rsidRPr="007D61A7">
        <w:rPr>
          <w:rFonts w:ascii="Palatino Linotype" w:hAnsi="Palatino Linotype"/>
        </w:rPr>
        <w:t>(18)</w:t>
      </w:r>
      <w:r w:rsidR="00817420" w:rsidRPr="007D61A7">
        <w:rPr>
          <w:rFonts w:ascii="Palatino Linotype" w:hAnsi="Palatino Linotype"/>
        </w:rPr>
        <w:fldChar w:fldCharType="end"/>
      </w:r>
      <w:r w:rsidR="00363F0C" w:rsidRPr="007D61A7">
        <w:rPr>
          <w:rFonts w:ascii="Palatino Linotype" w:hAnsi="Palatino Linotype"/>
        </w:rPr>
        <w:t xml:space="preserve">. </w:t>
      </w:r>
      <w:r w:rsidR="0008266D" w:rsidRPr="007D61A7">
        <w:rPr>
          <w:rFonts w:ascii="Palatino Linotype" w:hAnsi="Palatino Linotype"/>
          <w:sz w:val="21"/>
          <w:szCs w:val="21"/>
        </w:rPr>
        <w:t xml:space="preserve">In the face of a limited and rapidly diminishing carbon budget, a global effort to decarbonise healthcare must </w:t>
      </w:r>
      <w:r w:rsidR="00817420" w:rsidRPr="007D61A7">
        <w:rPr>
          <w:rFonts w:ascii="Palatino Linotype" w:hAnsi="Palatino Linotype"/>
          <w:sz w:val="21"/>
          <w:szCs w:val="21"/>
        </w:rPr>
        <w:t xml:space="preserve">reduce waste, </w:t>
      </w:r>
      <w:r w:rsidR="0008266D" w:rsidRPr="007D61A7">
        <w:rPr>
          <w:rFonts w:ascii="Palatino Linotype" w:hAnsi="Palatino Linotype"/>
          <w:sz w:val="21"/>
          <w:szCs w:val="21"/>
        </w:rPr>
        <w:t xml:space="preserve">set </w:t>
      </w:r>
      <w:proofErr w:type="gramStart"/>
      <w:r w:rsidR="0008266D" w:rsidRPr="007D61A7">
        <w:rPr>
          <w:rFonts w:ascii="Palatino Linotype" w:hAnsi="Palatino Linotype"/>
          <w:sz w:val="21"/>
          <w:szCs w:val="21"/>
        </w:rPr>
        <w:t>priorities</w:t>
      </w:r>
      <w:proofErr w:type="gramEnd"/>
      <w:r w:rsidR="0008266D" w:rsidRPr="007D61A7">
        <w:rPr>
          <w:rFonts w:ascii="Palatino Linotype" w:hAnsi="Palatino Linotype"/>
          <w:sz w:val="21"/>
          <w:szCs w:val="21"/>
        </w:rPr>
        <w:t xml:space="preserve"> and make trade-offs. </w:t>
      </w:r>
      <w:r w:rsidRPr="007D61A7">
        <w:rPr>
          <w:rFonts w:ascii="Palatino Linotype" w:hAnsi="Palatino Linotype"/>
        </w:rPr>
        <w:t xml:space="preserve">The gulf between rich and poor cannot be </w:t>
      </w:r>
      <w:r w:rsidR="00354CE0" w:rsidRPr="007D61A7">
        <w:rPr>
          <w:rFonts w:ascii="Palatino Linotype" w:hAnsi="Palatino Linotype"/>
        </w:rPr>
        <w:t>overlooked</w:t>
      </w:r>
      <w:r w:rsidRPr="007D61A7">
        <w:rPr>
          <w:rFonts w:ascii="Palatino Linotype" w:hAnsi="Palatino Linotype"/>
        </w:rPr>
        <w:t xml:space="preserve">. </w:t>
      </w:r>
      <w:r w:rsidR="0008266D" w:rsidRPr="007D61A7">
        <w:rPr>
          <w:rFonts w:ascii="Palatino Linotype" w:hAnsi="Palatino Linotype"/>
          <w:sz w:val="21"/>
          <w:szCs w:val="21"/>
        </w:rPr>
        <w:t>This involves value judgements</w:t>
      </w:r>
      <w:r w:rsidR="00817420" w:rsidRPr="007D61A7">
        <w:rPr>
          <w:rFonts w:ascii="Palatino Linotype" w:hAnsi="Palatino Linotype"/>
          <w:sz w:val="21"/>
          <w:szCs w:val="21"/>
        </w:rPr>
        <w:t>:</w:t>
      </w:r>
      <w:r w:rsidR="0008266D" w:rsidRPr="007D61A7">
        <w:rPr>
          <w:rFonts w:ascii="Palatino Linotype" w:hAnsi="Palatino Linotype"/>
          <w:sz w:val="21"/>
          <w:szCs w:val="21"/>
        </w:rPr>
        <w:t xml:space="preserve"> whose interests count and whose don’t</w:t>
      </w:r>
      <w:r w:rsidR="00817420" w:rsidRPr="007D61A7">
        <w:rPr>
          <w:rFonts w:ascii="Palatino Linotype" w:hAnsi="Palatino Linotype"/>
          <w:sz w:val="21"/>
          <w:szCs w:val="21"/>
        </w:rPr>
        <w:t>;</w:t>
      </w:r>
      <w:r w:rsidR="00A93BA4" w:rsidRPr="007D61A7">
        <w:rPr>
          <w:rFonts w:ascii="Palatino Linotype" w:hAnsi="Palatino Linotype"/>
          <w:sz w:val="21"/>
          <w:szCs w:val="21"/>
        </w:rPr>
        <w:t xml:space="preserve"> </w:t>
      </w:r>
      <w:r w:rsidR="0008266D" w:rsidRPr="007D61A7">
        <w:rPr>
          <w:rFonts w:ascii="Palatino Linotype" w:hAnsi="Palatino Linotype"/>
          <w:sz w:val="21"/>
          <w:szCs w:val="21"/>
        </w:rPr>
        <w:t>how to compensate those who are harmed</w:t>
      </w:r>
      <w:r w:rsidR="00817420" w:rsidRPr="007D61A7">
        <w:rPr>
          <w:rFonts w:ascii="Palatino Linotype" w:hAnsi="Palatino Linotype"/>
          <w:sz w:val="21"/>
          <w:szCs w:val="21"/>
        </w:rPr>
        <w:t>;</w:t>
      </w:r>
      <w:r w:rsidR="00A93BA4" w:rsidRPr="007D61A7">
        <w:rPr>
          <w:rFonts w:ascii="Palatino Linotype" w:hAnsi="Palatino Linotype"/>
          <w:sz w:val="21"/>
          <w:szCs w:val="21"/>
        </w:rPr>
        <w:t xml:space="preserve"> and </w:t>
      </w:r>
      <w:r w:rsidR="00D17C07" w:rsidRPr="007D61A7">
        <w:rPr>
          <w:rFonts w:ascii="Palatino Linotype" w:hAnsi="Palatino Linotype"/>
          <w:sz w:val="21"/>
          <w:szCs w:val="21"/>
        </w:rPr>
        <w:t xml:space="preserve">how to finance net zero healthcare globally. </w:t>
      </w:r>
      <w:r w:rsidR="00BD385B" w:rsidRPr="007D61A7">
        <w:rPr>
          <w:rFonts w:ascii="Palatino Linotype" w:hAnsi="Palatino Linotype"/>
          <w:sz w:val="21"/>
          <w:szCs w:val="21"/>
        </w:rPr>
        <w:t xml:space="preserve">In turn this reflects who has power to set the agenda and control financing. </w:t>
      </w:r>
      <w:r w:rsidR="00363F0C" w:rsidRPr="007D61A7">
        <w:rPr>
          <w:rFonts w:ascii="Palatino Linotype" w:hAnsi="Palatino Linotype"/>
          <w:sz w:val="21"/>
          <w:szCs w:val="21"/>
        </w:rPr>
        <w:t>As efforts to decarbonise healthcare shift from conceptualisation to implementation it i</w:t>
      </w:r>
      <w:r w:rsidR="004A4A4A" w:rsidRPr="007D61A7">
        <w:rPr>
          <w:rFonts w:ascii="Palatino Linotype" w:hAnsi="Palatino Linotype"/>
          <w:sz w:val="21"/>
          <w:szCs w:val="21"/>
        </w:rPr>
        <w:t xml:space="preserve">s crucial that policy makers </w:t>
      </w:r>
      <w:r w:rsidR="00354CE0" w:rsidRPr="007D61A7">
        <w:rPr>
          <w:rFonts w:ascii="Palatino Linotype" w:hAnsi="Palatino Linotype"/>
          <w:sz w:val="21"/>
          <w:szCs w:val="21"/>
        </w:rPr>
        <w:t>work to ensure</w:t>
      </w:r>
      <w:r w:rsidR="00BD385B" w:rsidRPr="007D61A7">
        <w:rPr>
          <w:rFonts w:ascii="Palatino Linotype" w:hAnsi="Palatino Linotype"/>
          <w:sz w:val="21"/>
          <w:szCs w:val="21"/>
        </w:rPr>
        <w:t xml:space="preserve"> that pathways to net zero </w:t>
      </w:r>
      <w:r w:rsidR="00354CE0" w:rsidRPr="007D61A7">
        <w:rPr>
          <w:rFonts w:ascii="Palatino Linotype" w:hAnsi="Palatino Linotype"/>
          <w:sz w:val="21"/>
          <w:szCs w:val="21"/>
        </w:rPr>
        <w:t>are</w:t>
      </w:r>
      <w:r w:rsidR="00BD385B" w:rsidRPr="007D61A7">
        <w:rPr>
          <w:rFonts w:ascii="Palatino Linotype" w:hAnsi="Palatino Linotype"/>
          <w:sz w:val="21"/>
          <w:szCs w:val="21"/>
        </w:rPr>
        <w:t xml:space="preserve"> </w:t>
      </w:r>
      <w:r w:rsidR="00363F0C" w:rsidRPr="007D61A7">
        <w:rPr>
          <w:rFonts w:ascii="Palatino Linotype" w:hAnsi="Palatino Linotype"/>
          <w:sz w:val="21"/>
          <w:szCs w:val="21"/>
        </w:rPr>
        <w:t>holistic and fair</w:t>
      </w:r>
      <w:r w:rsidR="00BD385B" w:rsidRPr="007D61A7">
        <w:rPr>
          <w:rFonts w:ascii="Palatino Linotype" w:hAnsi="Palatino Linotype"/>
          <w:sz w:val="21"/>
          <w:szCs w:val="21"/>
        </w:rPr>
        <w:t>.</w:t>
      </w:r>
    </w:p>
    <w:p w14:paraId="11763AD3" w14:textId="6B692407" w:rsidR="004A4A4A" w:rsidRPr="007D61A7" w:rsidRDefault="004A4A4A" w:rsidP="00354CE0">
      <w:pPr>
        <w:pStyle w:val="Heading3"/>
        <w:rPr>
          <w:rFonts w:ascii="Palatino Linotype" w:hAnsi="Palatino Linotype"/>
        </w:rPr>
      </w:pPr>
      <w:r w:rsidRPr="007D61A7">
        <w:rPr>
          <w:rFonts w:ascii="Palatino Linotype" w:hAnsi="Palatino Linotype"/>
        </w:rPr>
        <w:t xml:space="preserve">Conclusion: </w:t>
      </w:r>
    </w:p>
    <w:p w14:paraId="71FF7CCB" w14:textId="4860D1F5" w:rsidR="00BD385B" w:rsidRPr="007D61A7" w:rsidRDefault="004A4A4A" w:rsidP="00363F0C">
      <w:pPr>
        <w:spacing w:before="100" w:beforeAutospacing="1" w:after="100" w:afterAutospacing="1" w:line="360" w:lineRule="auto"/>
        <w:rPr>
          <w:rFonts w:ascii="Palatino Linotype" w:hAnsi="Palatino Linotype"/>
          <w:sz w:val="21"/>
          <w:szCs w:val="21"/>
        </w:rPr>
      </w:pPr>
      <w:r w:rsidRPr="007D61A7">
        <w:rPr>
          <w:rFonts w:ascii="Palatino Linotype" w:hAnsi="Palatino Linotype"/>
          <w:sz w:val="21"/>
          <w:szCs w:val="21"/>
        </w:rPr>
        <w:t xml:space="preserve">Net zero is a scientific target which is underpinned by ethical values. </w:t>
      </w:r>
      <w:r w:rsidR="00BD385B" w:rsidRPr="007D61A7">
        <w:rPr>
          <w:rFonts w:ascii="Palatino Linotype" w:hAnsi="Palatino Linotype"/>
          <w:sz w:val="21"/>
          <w:szCs w:val="21"/>
        </w:rPr>
        <w:t xml:space="preserve">Put simply, inequality in income and emissions are inextricably tied to fair pathways to net zero healthcare. </w:t>
      </w:r>
      <w:r w:rsidRPr="007D61A7">
        <w:rPr>
          <w:rFonts w:ascii="Palatino Linotype" w:hAnsi="Palatino Linotype"/>
          <w:sz w:val="21"/>
          <w:szCs w:val="21"/>
        </w:rPr>
        <w:t xml:space="preserve">As a growing number of countries pursue healthcare sector specific decarbonisation strategies it is </w:t>
      </w:r>
      <w:r w:rsidR="00BD385B" w:rsidRPr="007D61A7">
        <w:rPr>
          <w:rFonts w:ascii="Palatino Linotype" w:hAnsi="Palatino Linotype"/>
          <w:sz w:val="21"/>
          <w:szCs w:val="21"/>
        </w:rPr>
        <w:t>critical</w:t>
      </w:r>
      <w:r w:rsidRPr="007D61A7">
        <w:rPr>
          <w:rFonts w:ascii="Palatino Linotype" w:hAnsi="Palatino Linotype"/>
          <w:sz w:val="21"/>
          <w:szCs w:val="21"/>
        </w:rPr>
        <w:t xml:space="preserve"> that ethical considerations </w:t>
      </w:r>
      <w:r w:rsidR="00BD385B" w:rsidRPr="007D61A7">
        <w:rPr>
          <w:rFonts w:ascii="Palatino Linotype" w:hAnsi="Palatino Linotype"/>
          <w:sz w:val="21"/>
          <w:szCs w:val="21"/>
        </w:rPr>
        <w:t xml:space="preserve">receive greater attention from researchers and </w:t>
      </w:r>
      <w:r w:rsidRPr="007D61A7">
        <w:rPr>
          <w:rFonts w:ascii="Palatino Linotype" w:hAnsi="Palatino Linotype"/>
          <w:sz w:val="21"/>
          <w:szCs w:val="21"/>
        </w:rPr>
        <w:t>policy makers</w:t>
      </w:r>
      <w:r w:rsidR="00133EB7" w:rsidRPr="007D61A7">
        <w:rPr>
          <w:rFonts w:ascii="Palatino Linotype" w:hAnsi="Palatino Linotype"/>
          <w:sz w:val="21"/>
          <w:szCs w:val="21"/>
        </w:rPr>
        <w:t xml:space="preserve"> alike</w:t>
      </w:r>
      <w:r w:rsidRPr="007D61A7">
        <w:rPr>
          <w:rFonts w:ascii="Palatino Linotype" w:hAnsi="Palatino Linotype"/>
          <w:sz w:val="21"/>
          <w:szCs w:val="21"/>
        </w:rPr>
        <w:t xml:space="preserve">. </w:t>
      </w:r>
    </w:p>
    <w:p w14:paraId="0A3F5319" w14:textId="7A936F60" w:rsidR="001656E8" w:rsidRPr="007D61A7" w:rsidRDefault="001656E8" w:rsidP="007D61A7">
      <w:pPr>
        <w:spacing w:line="360" w:lineRule="auto"/>
        <w:rPr>
          <w:rFonts w:ascii="Palatino Linotype" w:hAnsi="Palatino Linotype"/>
          <w:b/>
          <w:bCs/>
          <w:i/>
          <w:iCs/>
          <w:sz w:val="21"/>
          <w:szCs w:val="21"/>
          <w:lang w:val="en-US"/>
        </w:rPr>
      </w:pPr>
      <w:r w:rsidRPr="007D61A7">
        <w:rPr>
          <w:rFonts w:ascii="Palatino Linotype" w:hAnsi="Palatino Linotype"/>
          <w:i/>
          <w:iCs/>
          <w:sz w:val="21"/>
          <w:szCs w:val="21"/>
        </w:rPr>
        <w:t xml:space="preserve">Further details and analysis on fair pathways to net zero healthcare will be provided during the conference presentation during the Prince Mahidol Conference 2023. </w:t>
      </w:r>
      <w:r w:rsidRPr="007D61A7">
        <w:rPr>
          <w:rFonts w:ascii="Palatino Linotype" w:hAnsi="Palatino Linotype"/>
          <w:i/>
          <w:iCs/>
          <w:sz w:val="21"/>
          <w:szCs w:val="21"/>
          <w:lang w:val="en-US"/>
        </w:rPr>
        <w:t>PS 1.1 " Climate Injustice: Ethics, Distributions, Fairness, and Justice " on Friday 27 January 2023 from 14:00 - 16:00.</w:t>
      </w:r>
      <w:r w:rsidRPr="007D61A7">
        <w:rPr>
          <w:rFonts w:ascii="Palatino Linotype" w:hAnsi="Palatino Linotype"/>
          <w:b/>
          <w:bCs/>
          <w:i/>
          <w:iCs/>
          <w:sz w:val="21"/>
          <w:szCs w:val="21"/>
          <w:lang w:val="en-US"/>
        </w:rPr>
        <w:t xml:space="preserve"> </w:t>
      </w:r>
    </w:p>
    <w:p w14:paraId="0524A3F3" w14:textId="40ED955B" w:rsidR="00817420" w:rsidRPr="007D61A7" w:rsidRDefault="00817420" w:rsidP="001656E8">
      <w:pPr>
        <w:rPr>
          <w:rFonts w:ascii="Palatino Linotype" w:hAnsi="Palatino Linotype"/>
          <w:b/>
          <w:bCs/>
          <w:i/>
          <w:iCs/>
          <w:sz w:val="21"/>
          <w:szCs w:val="21"/>
          <w:lang w:val="en-US"/>
        </w:rPr>
      </w:pPr>
    </w:p>
    <w:p w14:paraId="06496846" w14:textId="77777777" w:rsidR="007D61A7" w:rsidRDefault="007D61A7">
      <w:pPr>
        <w:rPr>
          <w:rFonts w:ascii="Palatino Linotype" w:eastAsiaTheme="majorEastAsia" w:hAnsi="Palatino Linotype" w:cstheme="majorBidi"/>
          <w:color w:val="1F3763" w:themeColor="accent1" w:themeShade="7F"/>
          <w:sz w:val="24"/>
          <w:szCs w:val="24"/>
          <w:lang w:val="en-US"/>
        </w:rPr>
      </w:pPr>
      <w:r>
        <w:rPr>
          <w:rFonts w:ascii="Palatino Linotype" w:hAnsi="Palatino Linotype"/>
          <w:lang w:val="en-US"/>
        </w:rPr>
        <w:br w:type="page"/>
      </w:r>
    </w:p>
    <w:p w14:paraId="7587980D" w14:textId="63C13635" w:rsidR="00817420" w:rsidRPr="007D61A7" w:rsidRDefault="00817420" w:rsidP="007D61A7">
      <w:pPr>
        <w:pStyle w:val="Heading3"/>
        <w:rPr>
          <w:rFonts w:ascii="Palatino Linotype" w:hAnsi="Palatino Linotype"/>
          <w:lang w:val="en-US"/>
        </w:rPr>
      </w:pPr>
      <w:r w:rsidRPr="007D61A7">
        <w:rPr>
          <w:rFonts w:ascii="Palatino Linotype" w:hAnsi="Palatino Linotype"/>
          <w:lang w:val="en-US"/>
        </w:rPr>
        <w:lastRenderedPageBreak/>
        <w:t>References</w:t>
      </w:r>
    </w:p>
    <w:p w14:paraId="4205141A" w14:textId="77777777" w:rsidR="007D61A7" w:rsidRPr="007D61A7" w:rsidRDefault="007D61A7" w:rsidP="007D61A7">
      <w:pPr>
        <w:rPr>
          <w:rFonts w:ascii="Palatino Linotype" w:hAnsi="Palatino Linotype"/>
          <w:lang w:val="en-US"/>
        </w:rPr>
      </w:pPr>
    </w:p>
    <w:p w14:paraId="3B4811F7"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szCs w:val="21"/>
        </w:rPr>
        <w:fldChar w:fldCharType="begin"/>
      </w:r>
      <w:r w:rsidRPr="007D61A7">
        <w:rPr>
          <w:rFonts w:ascii="Palatino Linotype" w:hAnsi="Palatino Linotype"/>
          <w:sz w:val="21"/>
          <w:szCs w:val="21"/>
        </w:rPr>
        <w:instrText xml:space="preserve"> ADDIN ZOTERO_BIBL {"custom":[]} CSL_BIBLIOGRAPHY </w:instrText>
      </w:r>
      <w:r w:rsidRPr="007D61A7">
        <w:rPr>
          <w:rFonts w:ascii="Palatino Linotype" w:hAnsi="Palatino Linotype"/>
          <w:sz w:val="21"/>
          <w:szCs w:val="21"/>
        </w:rPr>
        <w:fldChar w:fldCharType="separate"/>
      </w:r>
      <w:r w:rsidRPr="007D61A7">
        <w:rPr>
          <w:rFonts w:ascii="Palatino Linotype" w:hAnsi="Palatino Linotype"/>
          <w:sz w:val="21"/>
        </w:rPr>
        <w:t>1.</w:t>
      </w:r>
      <w:r w:rsidRPr="007D61A7">
        <w:rPr>
          <w:rFonts w:ascii="Palatino Linotype" w:hAnsi="Palatino Linotype"/>
          <w:sz w:val="21"/>
        </w:rPr>
        <w:tab/>
        <w:t>Romanello M, Napoli CD, Drummond P, Green C, Kennard H, Lampard P, et al. The 2022 report of the Lancet Countdown on health and climate change: health at the mercy of fossil fuels. The Lancet [Internet]. 2022 Oct 25;0(0). Available from: https://www.thelancet.com/journals/lancet/article/PIIS0140-6736(22)01540-9/fulltext</w:t>
      </w:r>
    </w:p>
    <w:p w14:paraId="56E615CF"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2.</w:t>
      </w:r>
      <w:r w:rsidRPr="007D61A7">
        <w:rPr>
          <w:rFonts w:ascii="Palatino Linotype" w:hAnsi="Palatino Linotype"/>
          <w:sz w:val="21"/>
        </w:rPr>
        <w:tab/>
        <w:t>Bressler RD. The mortality cost of carbon. Nat Commun [Internet]. 2021 Jul 29;12(1):1–12. Available from: https://www.nature.com/articles/s41467-021-24487-w</w:t>
      </w:r>
    </w:p>
    <w:p w14:paraId="53DF8150"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3.</w:t>
      </w:r>
      <w:r w:rsidRPr="007D61A7">
        <w:rPr>
          <w:rFonts w:ascii="Palatino Linotype" w:hAnsi="Palatino Linotype"/>
          <w:sz w:val="21"/>
        </w:rPr>
        <w:tab/>
        <w:t>Sharma S, Bressler RD, Bhopal A, Norheim OF. The global temperature-related mortality impact of earlier decarbonization for the Australian health sector and economy: A modelling study. PLOS ONE [Internet]. 2022 Aug 3;17(8):e0271550. Available from: https://journals.plos.org/plosone/article?id=10.1371/journal.pone.0271550</w:t>
      </w:r>
    </w:p>
    <w:p w14:paraId="4070AF1B"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4.</w:t>
      </w:r>
      <w:r w:rsidRPr="007D61A7">
        <w:rPr>
          <w:rFonts w:ascii="Palatino Linotype" w:hAnsi="Palatino Linotype"/>
          <w:sz w:val="21"/>
        </w:rPr>
        <w:tab/>
        <w:t>Drew J, Christie SD, Rainham D, Rizan C. HealthcareLCA: an open-access living database of health-care environmental impact assessments. Lancet Planet Health [Internet]. 2022 Dec 1;6(12):e1000–12. Available from: https://www.thelancet.com/journals/lanplh/article/PIIS2542-5196(22)00257-1/abstract</w:t>
      </w:r>
    </w:p>
    <w:p w14:paraId="3DFA7EDE"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lang w:val="nb-NO"/>
        </w:rPr>
        <w:t>5.</w:t>
      </w:r>
      <w:r w:rsidRPr="007D61A7">
        <w:rPr>
          <w:rFonts w:ascii="Palatino Linotype" w:hAnsi="Palatino Linotype"/>
          <w:sz w:val="21"/>
          <w:lang w:val="nb-NO"/>
        </w:rPr>
        <w:tab/>
        <w:t xml:space="preserve">Lenzen M, Malik A, Li M, Fry J, Weisz H, Pichler PP, et al. </w:t>
      </w:r>
      <w:r w:rsidRPr="007D61A7">
        <w:rPr>
          <w:rFonts w:ascii="Palatino Linotype" w:hAnsi="Palatino Linotype"/>
          <w:sz w:val="21"/>
        </w:rPr>
        <w:t>The environmental footprint of health care: a global assessment. Lancet Planet Health [Internet]. 2020 Jul 1;4(7):e271–9. Available from: https://www.thelancet.com/journals/lanplh/article/PIIS2542-5196(20)30121-2/abstract</w:t>
      </w:r>
    </w:p>
    <w:p w14:paraId="4DE1DF3E"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6.</w:t>
      </w:r>
      <w:r w:rsidRPr="007D61A7">
        <w:rPr>
          <w:rFonts w:ascii="Palatino Linotype" w:hAnsi="Palatino Linotype"/>
          <w:sz w:val="21"/>
        </w:rPr>
        <w:tab/>
        <w:t>Pichler PP, Jaccard IS, Weisz U, Weisz H. International comparison of health care carbon footprints. Environ Res Lett [Internet]. 2019 May [cited 2020 May 12];14(6):064004. Available from: https://doi.org/10.1088%2F1748-9326%2Fab19e1</w:t>
      </w:r>
    </w:p>
    <w:p w14:paraId="6D3E2A22"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7.</w:t>
      </w:r>
      <w:r w:rsidRPr="007D61A7">
        <w:rPr>
          <w:rFonts w:ascii="Palatino Linotype" w:hAnsi="Palatino Linotype"/>
          <w:sz w:val="21"/>
        </w:rPr>
        <w:tab/>
        <w:t>Stern N, Taylor JS in collaboration with C. The economics of immense risk, urgent action and radical change: towards new approaches to the economics of climate change. J Econ Methodol [Internet]. 2022 Feb 24 [cited 2022 Jun 22];0(0):1–36. Available from: https://doi.org/10.1080/1350178X.2022.2040740</w:t>
      </w:r>
    </w:p>
    <w:p w14:paraId="04E347AD"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8.</w:t>
      </w:r>
      <w:r w:rsidRPr="007D61A7">
        <w:rPr>
          <w:rFonts w:ascii="Palatino Linotype" w:hAnsi="Palatino Linotype"/>
          <w:sz w:val="21"/>
        </w:rPr>
        <w:tab/>
        <w:t>Matthews HD, Tokarska KB, Nicholls ZRJ, Rogelj J, Canadell JG, Friedlingstein P, et al. Opportunities and challenges in using remaining carbon budgets to guide climate policy. Nat Geosci [Internet]. 2020 Dec;13(12):769–79. Available from: https://www.nature.com/articles/s41561-020-00663-3</w:t>
      </w:r>
    </w:p>
    <w:p w14:paraId="1E416BED"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9.</w:t>
      </w:r>
      <w:r w:rsidRPr="007D61A7">
        <w:rPr>
          <w:rFonts w:ascii="Palatino Linotype" w:hAnsi="Palatino Linotype"/>
          <w:sz w:val="21"/>
        </w:rPr>
        <w:tab/>
        <w:t>Mercator Research Institute on Global Commons and Climate Change. Remaining carbon budget [Internet]. 2021 [cited 2021 Jan 29]. Available from: https://www.mcc-berlin.net/en/research/co2-budget.html</w:t>
      </w:r>
    </w:p>
    <w:p w14:paraId="4ED61FCA"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lastRenderedPageBreak/>
        <w:t>10.</w:t>
      </w:r>
      <w:r w:rsidRPr="007D61A7">
        <w:rPr>
          <w:rFonts w:ascii="Palatino Linotype" w:hAnsi="Palatino Linotype"/>
          <w:sz w:val="21"/>
        </w:rPr>
        <w:tab/>
        <w:t>Williges K, Meyer LH, Steininger KW, Kirchengast G. Fairness critically conditions the carbon budget allocation across countries. Glob Environ Change [Internet]. 2022 May 1 [cited 2022 Dec 21];74:102481. Available from: https://www.sciencedirect.com/science/article/pii/S095937802200019X</w:t>
      </w:r>
    </w:p>
    <w:p w14:paraId="078E672C"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11.</w:t>
      </w:r>
      <w:r w:rsidRPr="007D61A7">
        <w:rPr>
          <w:rFonts w:ascii="Palatino Linotype" w:hAnsi="Palatino Linotype"/>
          <w:sz w:val="21"/>
        </w:rPr>
        <w:tab/>
        <w:t xml:space="preserve">Ostrom E. A Polycentric Approach for Coping with Climate Change: Background Paper to the 2010 World Development Report (Policy Research Working Paper 5095). Washington DC: World Bank; 2010. </w:t>
      </w:r>
    </w:p>
    <w:p w14:paraId="7D18ADD7"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12.</w:t>
      </w:r>
      <w:r w:rsidRPr="007D61A7">
        <w:rPr>
          <w:rFonts w:ascii="Palatino Linotype" w:hAnsi="Palatino Linotype"/>
          <w:sz w:val="21"/>
        </w:rPr>
        <w:tab/>
        <w:t xml:space="preserve">Intergovernmental Panel on Climate Change. Climate Change 2014: Mitigation of Climate Change. Contribution of Working Group III to the Fifth Assessment Report of the Intergovernmental Panel on Climate Change. Cambridge University Press; 2014. 1554 p. </w:t>
      </w:r>
    </w:p>
    <w:p w14:paraId="36D20D6A"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13.</w:t>
      </w:r>
      <w:r w:rsidRPr="007D61A7">
        <w:rPr>
          <w:rFonts w:ascii="Palatino Linotype" w:hAnsi="Palatino Linotype"/>
          <w:sz w:val="21"/>
        </w:rPr>
        <w:tab/>
        <w:t xml:space="preserve">Stern N, Stern NH, Treasury GB. The Economics of Climate Change: The Stern Review. Cambridge University Press; 2007. 645 p. </w:t>
      </w:r>
    </w:p>
    <w:p w14:paraId="33595C2C"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14.</w:t>
      </w:r>
      <w:r w:rsidRPr="007D61A7">
        <w:rPr>
          <w:rFonts w:ascii="Palatino Linotype" w:hAnsi="Palatino Linotype"/>
          <w:sz w:val="21"/>
        </w:rPr>
        <w:tab/>
        <w:t xml:space="preserve">Chancel L, Piketty T, Saez E, Zucman G. World Inequality Report 2022. World Inequality Lab; 2022. </w:t>
      </w:r>
    </w:p>
    <w:p w14:paraId="0631D476"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15.</w:t>
      </w:r>
      <w:r w:rsidRPr="007D61A7">
        <w:rPr>
          <w:rFonts w:ascii="Palatino Linotype" w:hAnsi="Palatino Linotype"/>
          <w:sz w:val="21"/>
        </w:rPr>
        <w:tab/>
        <w:t>Hubacek K, Baiocchi G, Feng K, Patwardhan A. Poverty eradication in a carbon constrained world. Nat Commun [Internet]. 2017 Oct 24;8(1):912. Available from: https://www.nature.com/articles/s41467-017-00919-4</w:t>
      </w:r>
    </w:p>
    <w:p w14:paraId="40B0697D"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16.</w:t>
      </w:r>
      <w:r w:rsidRPr="007D61A7">
        <w:rPr>
          <w:rFonts w:ascii="Palatino Linotype" w:hAnsi="Palatino Linotype"/>
          <w:sz w:val="21"/>
        </w:rPr>
        <w:tab/>
        <w:t>O’Neill DW, Fanning AL, Lamb WF, Steinberger JK. A good life for all within planetary boundaries. Nat Sustain [Internet]. 2018 Feb;1(2):88–95. Available from: https://www.nature.com/articles/s41893-018-0021-4</w:t>
      </w:r>
    </w:p>
    <w:p w14:paraId="4ACBCA35"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17.</w:t>
      </w:r>
      <w:r w:rsidRPr="007D61A7">
        <w:rPr>
          <w:rFonts w:ascii="Palatino Linotype" w:hAnsi="Palatino Linotype"/>
          <w:sz w:val="21"/>
        </w:rPr>
        <w:tab/>
        <w:t>World Health Organisation. COP26 Health Programme: Country Commitments [Internet]. 2022. Available from: https://www.who.int/initiatives/alliance-for-transformative-action-on-climate-and-health/country-commitments</w:t>
      </w:r>
    </w:p>
    <w:p w14:paraId="07193F61"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18.</w:t>
      </w:r>
      <w:r w:rsidRPr="007D61A7">
        <w:rPr>
          <w:rFonts w:ascii="Palatino Linotype" w:hAnsi="Palatino Linotype"/>
          <w:sz w:val="21"/>
        </w:rPr>
        <w:tab/>
        <w:t>Bhopal A, Norheim OF. Priority setting and net zero healthcare: how much health can a tonne of carbon buy? BMJ [Internet]. 2021 Oct 28;375:e067199. Available from: https://www.bmj.com/content/375/bmj-2021-067199</w:t>
      </w:r>
    </w:p>
    <w:p w14:paraId="6EA123D5" w14:textId="77777777" w:rsidR="007D61A7" w:rsidRPr="007D61A7" w:rsidRDefault="007D61A7" w:rsidP="007D61A7">
      <w:pPr>
        <w:pStyle w:val="Bibliography"/>
        <w:spacing w:line="276" w:lineRule="auto"/>
        <w:rPr>
          <w:rFonts w:ascii="Palatino Linotype" w:hAnsi="Palatino Linotype"/>
          <w:sz w:val="21"/>
        </w:rPr>
      </w:pPr>
      <w:r w:rsidRPr="007D61A7">
        <w:rPr>
          <w:rFonts w:ascii="Palatino Linotype" w:hAnsi="Palatino Linotype"/>
          <w:sz w:val="21"/>
        </w:rPr>
        <w:t>19.</w:t>
      </w:r>
      <w:r w:rsidRPr="007D61A7">
        <w:rPr>
          <w:rFonts w:ascii="Palatino Linotype" w:hAnsi="Palatino Linotype"/>
          <w:sz w:val="21"/>
        </w:rPr>
        <w:tab/>
        <w:t>WHO. Energizing health: accelerating electricity access in health-care facilities [Internet]. Geneva; 2023. Available from: https://www.who.int/publications/i/item/energizing-health--accelerating-electricity-access-in-health-care-facilities</w:t>
      </w:r>
    </w:p>
    <w:p w14:paraId="456374A0" w14:textId="4D56ED32" w:rsidR="001656E8" w:rsidRPr="007D61A7" w:rsidRDefault="007D61A7" w:rsidP="007D61A7">
      <w:pPr>
        <w:spacing w:before="100" w:beforeAutospacing="1" w:after="100" w:afterAutospacing="1" w:line="276" w:lineRule="auto"/>
        <w:rPr>
          <w:rFonts w:ascii="Palatino Linotype" w:hAnsi="Palatino Linotype"/>
          <w:sz w:val="21"/>
          <w:szCs w:val="21"/>
        </w:rPr>
      </w:pPr>
      <w:r w:rsidRPr="007D61A7">
        <w:rPr>
          <w:rFonts w:ascii="Palatino Linotype" w:hAnsi="Palatino Linotype"/>
          <w:sz w:val="21"/>
          <w:szCs w:val="21"/>
        </w:rPr>
        <w:fldChar w:fldCharType="end"/>
      </w:r>
    </w:p>
    <w:p w14:paraId="2F699E0C" w14:textId="77777777" w:rsidR="00133EB7" w:rsidRPr="007D61A7" w:rsidRDefault="00133EB7" w:rsidP="00363F0C">
      <w:pPr>
        <w:spacing w:before="100" w:beforeAutospacing="1" w:after="100" w:afterAutospacing="1" w:line="360" w:lineRule="auto"/>
        <w:rPr>
          <w:rFonts w:ascii="Palatino Linotype" w:hAnsi="Palatino Linotype"/>
          <w:sz w:val="21"/>
          <w:szCs w:val="21"/>
        </w:rPr>
      </w:pPr>
    </w:p>
    <w:bookmarkEnd w:id="0"/>
    <w:bookmarkEnd w:id="6"/>
    <w:p w14:paraId="629487A1" w14:textId="77777777" w:rsidR="00AA1EFE" w:rsidRPr="007D61A7" w:rsidRDefault="00AA1EFE" w:rsidP="00D17C07">
      <w:pPr>
        <w:spacing w:line="360" w:lineRule="auto"/>
        <w:rPr>
          <w:rFonts w:ascii="Palatino Linotype" w:hAnsi="Palatino Linotype"/>
          <w:sz w:val="21"/>
          <w:szCs w:val="21"/>
        </w:rPr>
      </w:pPr>
    </w:p>
    <w:sectPr w:rsidR="00AA1EFE" w:rsidRPr="007D61A7" w:rsidSect="00CC44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333A" w14:textId="77777777" w:rsidR="00F64231" w:rsidRDefault="00F64231" w:rsidP="00F64231">
      <w:pPr>
        <w:spacing w:after="0" w:line="240" w:lineRule="auto"/>
      </w:pPr>
      <w:r>
        <w:separator/>
      </w:r>
    </w:p>
  </w:endnote>
  <w:endnote w:type="continuationSeparator" w:id="0">
    <w:p w14:paraId="6E8D3629" w14:textId="77777777" w:rsidR="00F64231" w:rsidRDefault="00F64231" w:rsidP="00F6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8D86" w14:textId="77777777" w:rsidR="00F64231" w:rsidRDefault="00F64231" w:rsidP="00F64231">
      <w:pPr>
        <w:spacing w:after="0" w:line="240" w:lineRule="auto"/>
      </w:pPr>
      <w:r>
        <w:separator/>
      </w:r>
    </w:p>
  </w:footnote>
  <w:footnote w:type="continuationSeparator" w:id="0">
    <w:p w14:paraId="1785E026" w14:textId="77777777" w:rsidR="00F64231" w:rsidRDefault="00F64231" w:rsidP="00F6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1C4"/>
    <w:multiLevelType w:val="hybridMultilevel"/>
    <w:tmpl w:val="78BAE814"/>
    <w:lvl w:ilvl="0" w:tplc="BAF4A41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70B51"/>
    <w:multiLevelType w:val="hybridMultilevel"/>
    <w:tmpl w:val="B144F552"/>
    <w:lvl w:ilvl="0" w:tplc="6D1EB87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34246"/>
    <w:multiLevelType w:val="hybridMultilevel"/>
    <w:tmpl w:val="078AB960"/>
    <w:lvl w:ilvl="0" w:tplc="FC26E224">
      <w:numFmt w:val="bullet"/>
      <w:lvlText w:val="-"/>
      <w:lvlJc w:val="left"/>
      <w:pPr>
        <w:ind w:left="720" w:hanging="360"/>
      </w:pPr>
      <w:rPr>
        <w:rFonts w:ascii="Palatino Linotype" w:eastAsiaTheme="minorHAnsi" w:hAnsi="Palatino Linotyp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F0626"/>
    <w:multiLevelType w:val="hybridMultilevel"/>
    <w:tmpl w:val="3FF28C58"/>
    <w:lvl w:ilvl="0" w:tplc="F5847650">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63039"/>
    <w:multiLevelType w:val="hybridMultilevel"/>
    <w:tmpl w:val="912E2900"/>
    <w:lvl w:ilvl="0" w:tplc="59CC723A">
      <w:start w:val="1"/>
      <w:numFmt w:val="bullet"/>
      <w:lvlText w:val="-"/>
      <w:lvlJc w:val="left"/>
      <w:pPr>
        <w:ind w:left="644" w:hanging="360"/>
      </w:pPr>
      <w:rPr>
        <w:rFonts w:ascii="Palatino Linotype" w:eastAsiaTheme="minorHAnsi" w:hAnsi="Palatino Linotype"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3557B"/>
    <w:multiLevelType w:val="hybridMultilevel"/>
    <w:tmpl w:val="0602BC3E"/>
    <w:lvl w:ilvl="0" w:tplc="252A401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659344">
    <w:abstractNumId w:val="3"/>
  </w:num>
  <w:num w:numId="2" w16cid:durableId="1621717206">
    <w:abstractNumId w:val="2"/>
  </w:num>
  <w:num w:numId="3" w16cid:durableId="1260135569">
    <w:abstractNumId w:val="4"/>
  </w:num>
  <w:num w:numId="4" w16cid:durableId="334769842">
    <w:abstractNumId w:val="5"/>
  </w:num>
  <w:num w:numId="5" w16cid:durableId="2062244250">
    <w:abstractNumId w:val="1"/>
  </w:num>
  <w:num w:numId="6" w16cid:durableId="26076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75"/>
    <w:rsid w:val="00047E62"/>
    <w:rsid w:val="00050F39"/>
    <w:rsid w:val="0005451D"/>
    <w:rsid w:val="000643C7"/>
    <w:rsid w:val="0008266D"/>
    <w:rsid w:val="000F7662"/>
    <w:rsid w:val="00117BAE"/>
    <w:rsid w:val="00125452"/>
    <w:rsid w:val="00133EB7"/>
    <w:rsid w:val="00140855"/>
    <w:rsid w:val="001656E8"/>
    <w:rsid w:val="002641A2"/>
    <w:rsid w:val="00290580"/>
    <w:rsid w:val="002C5D51"/>
    <w:rsid w:val="00333307"/>
    <w:rsid w:val="00354CE0"/>
    <w:rsid w:val="00363F0C"/>
    <w:rsid w:val="003F48D7"/>
    <w:rsid w:val="004901AC"/>
    <w:rsid w:val="004A4A4A"/>
    <w:rsid w:val="004E4665"/>
    <w:rsid w:val="00576EA7"/>
    <w:rsid w:val="005C1E09"/>
    <w:rsid w:val="00632994"/>
    <w:rsid w:val="00750703"/>
    <w:rsid w:val="007B2375"/>
    <w:rsid w:val="007D61A7"/>
    <w:rsid w:val="007E44E6"/>
    <w:rsid w:val="00817420"/>
    <w:rsid w:val="0083472E"/>
    <w:rsid w:val="008475FB"/>
    <w:rsid w:val="00920F03"/>
    <w:rsid w:val="00971C5B"/>
    <w:rsid w:val="00A105ED"/>
    <w:rsid w:val="00A26FDC"/>
    <w:rsid w:val="00A93BA4"/>
    <w:rsid w:val="00AA1EFE"/>
    <w:rsid w:val="00B7420B"/>
    <w:rsid w:val="00BD385B"/>
    <w:rsid w:val="00C142AF"/>
    <w:rsid w:val="00C161A8"/>
    <w:rsid w:val="00C54165"/>
    <w:rsid w:val="00C620C0"/>
    <w:rsid w:val="00CB7233"/>
    <w:rsid w:val="00CC440D"/>
    <w:rsid w:val="00CE5D48"/>
    <w:rsid w:val="00D17C07"/>
    <w:rsid w:val="00D74CF5"/>
    <w:rsid w:val="00F64231"/>
    <w:rsid w:val="00FF35E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A4D63"/>
  <w15:chartTrackingRefBased/>
  <w15:docId w15:val="{F7B2FF01-EFA3-4338-AD3F-12357668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AC"/>
  </w:style>
  <w:style w:type="paragraph" w:styleId="Heading2">
    <w:name w:val="heading 2"/>
    <w:basedOn w:val="Normal"/>
    <w:next w:val="Normal"/>
    <w:link w:val="Heading2Char"/>
    <w:uiPriority w:val="9"/>
    <w:unhideWhenUsed/>
    <w:qFormat/>
    <w:rsid w:val="00F64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43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231"/>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64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3C7"/>
    <w:rPr>
      <w:sz w:val="20"/>
      <w:szCs w:val="20"/>
    </w:rPr>
  </w:style>
  <w:style w:type="character" w:styleId="FootnoteReference">
    <w:name w:val="footnote reference"/>
    <w:basedOn w:val="DefaultParagraphFont"/>
    <w:uiPriority w:val="99"/>
    <w:semiHidden/>
    <w:unhideWhenUsed/>
    <w:rsid w:val="000643C7"/>
    <w:rPr>
      <w:vertAlign w:val="superscript"/>
    </w:rPr>
  </w:style>
  <w:style w:type="character" w:customStyle="1" w:styleId="Heading3Char">
    <w:name w:val="Heading 3 Char"/>
    <w:basedOn w:val="DefaultParagraphFont"/>
    <w:link w:val="Heading3"/>
    <w:uiPriority w:val="9"/>
    <w:rsid w:val="000643C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32994"/>
    <w:pPr>
      <w:ind w:left="720"/>
      <w:contextualSpacing/>
    </w:pPr>
  </w:style>
  <w:style w:type="character" w:styleId="Hyperlink">
    <w:name w:val="Hyperlink"/>
    <w:basedOn w:val="DefaultParagraphFont"/>
    <w:uiPriority w:val="99"/>
    <w:unhideWhenUsed/>
    <w:rsid w:val="00632994"/>
    <w:rPr>
      <w:color w:val="0563C1" w:themeColor="hyperlink"/>
      <w:u w:val="single"/>
    </w:rPr>
  </w:style>
  <w:style w:type="character" w:styleId="CommentReference">
    <w:name w:val="annotation reference"/>
    <w:basedOn w:val="DefaultParagraphFont"/>
    <w:uiPriority w:val="99"/>
    <w:semiHidden/>
    <w:unhideWhenUsed/>
    <w:rsid w:val="008475FB"/>
    <w:rPr>
      <w:sz w:val="16"/>
      <w:szCs w:val="16"/>
    </w:rPr>
  </w:style>
  <w:style w:type="paragraph" w:styleId="CommentText">
    <w:name w:val="annotation text"/>
    <w:basedOn w:val="Normal"/>
    <w:link w:val="CommentTextChar"/>
    <w:uiPriority w:val="99"/>
    <w:unhideWhenUsed/>
    <w:rsid w:val="008475FB"/>
    <w:pPr>
      <w:spacing w:line="240" w:lineRule="auto"/>
    </w:pPr>
    <w:rPr>
      <w:rFonts w:ascii="Palatino Linotype" w:hAnsi="Palatino Linotype"/>
      <w:sz w:val="20"/>
      <w:szCs w:val="20"/>
    </w:rPr>
  </w:style>
  <w:style w:type="character" w:customStyle="1" w:styleId="CommentTextChar">
    <w:name w:val="Comment Text Char"/>
    <w:basedOn w:val="DefaultParagraphFont"/>
    <w:link w:val="CommentText"/>
    <w:uiPriority w:val="99"/>
    <w:rsid w:val="008475FB"/>
    <w:rPr>
      <w:rFonts w:ascii="Palatino Linotype" w:hAnsi="Palatino Linotype"/>
      <w:sz w:val="20"/>
      <w:szCs w:val="20"/>
    </w:rPr>
  </w:style>
  <w:style w:type="character" w:styleId="Emphasis">
    <w:name w:val="Emphasis"/>
    <w:basedOn w:val="DefaultParagraphFont"/>
    <w:uiPriority w:val="20"/>
    <w:qFormat/>
    <w:rsid w:val="00A26FDC"/>
    <w:rPr>
      <w:i/>
      <w:iCs/>
    </w:rPr>
  </w:style>
  <w:style w:type="character" w:customStyle="1" w:styleId="fig-label">
    <w:name w:val="fig-label"/>
    <w:basedOn w:val="DefaultParagraphFont"/>
    <w:rsid w:val="00CB7233"/>
  </w:style>
  <w:style w:type="paragraph" w:customStyle="1" w:styleId="first-child">
    <w:name w:val="first-child"/>
    <w:basedOn w:val="Normal"/>
    <w:rsid w:val="00CB7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A93BA4"/>
    <w:pPr>
      <w:spacing w:after="200" w:line="240" w:lineRule="auto"/>
    </w:pPr>
    <w:rPr>
      <w:rFonts w:ascii="Palatino Linotype" w:hAnsi="Palatino Linotype"/>
      <w:i/>
      <w:iCs/>
      <w:color w:val="44546A" w:themeColor="text2"/>
      <w:sz w:val="18"/>
      <w:szCs w:val="18"/>
    </w:rPr>
  </w:style>
  <w:style w:type="paragraph" w:styleId="Bibliography">
    <w:name w:val="Bibliography"/>
    <w:basedOn w:val="Normal"/>
    <w:next w:val="Normal"/>
    <w:uiPriority w:val="37"/>
    <w:unhideWhenUsed/>
    <w:rsid w:val="007D61A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995">
      <w:bodyDiv w:val="1"/>
      <w:marLeft w:val="0"/>
      <w:marRight w:val="0"/>
      <w:marTop w:val="0"/>
      <w:marBottom w:val="0"/>
      <w:divBdr>
        <w:top w:val="none" w:sz="0" w:space="0" w:color="auto"/>
        <w:left w:val="none" w:sz="0" w:space="0" w:color="auto"/>
        <w:bottom w:val="none" w:sz="0" w:space="0" w:color="auto"/>
        <w:right w:val="none" w:sz="0" w:space="0" w:color="auto"/>
      </w:divBdr>
    </w:div>
    <w:div w:id="843859669">
      <w:bodyDiv w:val="1"/>
      <w:marLeft w:val="0"/>
      <w:marRight w:val="0"/>
      <w:marTop w:val="0"/>
      <w:marBottom w:val="0"/>
      <w:divBdr>
        <w:top w:val="none" w:sz="0" w:space="0" w:color="auto"/>
        <w:left w:val="none" w:sz="0" w:space="0" w:color="auto"/>
        <w:bottom w:val="none" w:sz="0" w:space="0" w:color="auto"/>
        <w:right w:val="none" w:sz="0" w:space="0" w:color="auto"/>
      </w:divBdr>
    </w:div>
    <w:div w:id="1001664357">
      <w:bodyDiv w:val="1"/>
      <w:marLeft w:val="0"/>
      <w:marRight w:val="0"/>
      <w:marTop w:val="0"/>
      <w:marBottom w:val="0"/>
      <w:divBdr>
        <w:top w:val="none" w:sz="0" w:space="0" w:color="auto"/>
        <w:left w:val="none" w:sz="0" w:space="0" w:color="auto"/>
        <w:bottom w:val="none" w:sz="0" w:space="0" w:color="auto"/>
        <w:right w:val="none" w:sz="0" w:space="0" w:color="auto"/>
      </w:divBdr>
    </w:div>
    <w:div w:id="1170943441">
      <w:bodyDiv w:val="1"/>
      <w:marLeft w:val="0"/>
      <w:marRight w:val="0"/>
      <w:marTop w:val="0"/>
      <w:marBottom w:val="0"/>
      <w:divBdr>
        <w:top w:val="none" w:sz="0" w:space="0" w:color="auto"/>
        <w:left w:val="none" w:sz="0" w:space="0" w:color="auto"/>
        <w:bottom w:val="none" w:sz="0" w:space="0" w:color="auto"/>
        <w:right w:val="none" w:sz="0" w:space="0" w:color="auto"/>
      </w:divBdr>
    </w:div>
    <w:div w:id="1244070127">
      <w:bodyDiv w:val="1"/>
      <w:marLeft w:val="0"/>
      <w:marRight w:val="0"/>
      <w:marTop w:val="0"/>
      <w:marBottom w:val="0"/>
      <w:divBdr>
        <w:top w:val="none" w:sz="0" w:space="0" w:color="auto"/>
        <w:left w:val="none" w:sz="0" w:space="0" w:color="auto"/>
        <w:bottom w:val="none" w:sz="0" w:space="0" w:color="auto"/>
        <w:right w:val="none" w:sz="0" w:space="0" w:color="auto"/>
      </w:divBdr>
    </w:div>
    <w:div w:id="1562328637">
      <w:bodyDiv w:val="1"/>
      <w:marLeft w:val="0"/>
      <w:marRight w:val="0"/>
      <w:marTop w:val="0"/>
      <w:marBottom w:val="0"/>
      <w:divBdr>
        <w:top w:val="none" w:sz="0" w:space="0" w:color="auto"/>
        <w:left w:val="none" w:sz="0" w:space="0" w:color="auto"/>
        <w:bottom w:val="none" w:sz="0" w:space="0" w:color="auto"/>
        <w:right w:val="none" w:sz="0" w:space="0" w:color="auto"/>
      </w:divBdr>
    </w:div>
    <w:div w:id="19676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jemme.uib.no\abh081\PhD%20Project\Writing\Fair%20Pathways%20paper%20-%20conceptual%20paper\Fair%20Pathways%20paper%20-%20schematic%20graphs%20(08.11.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 capita emissions, percentil'!$B$1</c:f>
              <c:strCache>
                <c:ptCount val="1"/>
                <c:pt idx="0">
                  <c:v>Per capita emissions (tonnes)</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8D82-41EF-9A1F-EC699FC93931}"/>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8D82-41EF-9A1F-EC699FC93931}"/>
              </c:ext>
            </c:extLst>
          </c:dPt>
          <c:dPt>
            <c:idx val="3"/>
            <c:invertIfNegative val="0"/>
            <c:bubble3D val="0"/>
            <c:spPr>
              <a:solidFill>
                <a:schemeClr val="tx2"/>
              </a:solidFill>
              <a:ln>
                <a:noFill/>
              </a:ln>
              <a:effectLst/>
            </c:spPr>
            <c:extLst>
              <c:ext xmlns:c16="http://schemas.microsoft.com/office/drawing/2014/chart" uri="{C3380CC4-5D6E-409C-BE32-E72D297353CC}">
                <c16:uniqueId val="{00000005-8D82-41EF-9A1F-EC699FC93931}"/>
              </c:ext>
            </c:extLst>
          </c:dPt>
          <c:dPt>
            <c:idx val="4"/>
            <c:invertIfNegative val="0"/>
            <c:bubble3D val="0"/>
            <c:spPr>
              <a:solidFill>
                <a:schemeClr val="bg2"/>
              </a:solidFill>
              <a:ln>
                <a:noFill/>
              </a:ln>
              <a:effectLst/>
            </c:spPr>
            <c:extLst>
              <c:ext xmlns:c16="http://schemas.microsoft.com/office/drawing/2014/chart" uri="{C3380CC4-5D6E-409C-BE32-E72D297353CC}">
                <c16:uniqueId val="{00000007-8D82-41EF-9A1F-EC699FC93931}"/>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9-8D82-41EF-9A1F-EC699FC93931}"/>
              </c:ext>
            </c:extLst>
          </c:dPt>
          <c:dPt>
            <c:idx val="6"/>
            <c:invertIfNegative val="0"/>
            <c:bubble3D val="0"/>
            <c:spPr>
              <a:solidFill>
                <a:srgbClr val="FF0000"/>
              </a:solidFill>
              <a:ln>
                <a:noFill/>
              </a:ln>
              <a:effectLst/>
            </c:spPr>
            <c:extLst>
              <c:ext xmlns:c16="http://schemas.microsoft.com/office/drawing/2014/chart" uri="{C3380CC4-5D6E-409C-BE32-E72D297353CC}">
                <c16:uniqueId val="{0000000B-8D82-41EF-9A1F-EC699FC93931}"/>
              </c:ext>
            </c:extLst>
          </c:dPt>
          <c:dPt>
            <c:idx val="7"/>
            <c:invertIfNegative val="0"/>
            <c:bubble3D val="0"/>
            <c:spPr>
              <a:solidFill>
                <a:schemeClr val="bg2"/>
              </a:solidFill>
              <a:ln>
                <a:noFill/>
              </a:ln>
              <a:effectLst/>
            </c:spPr>
            <c:extLst>
              <c:ext xmlns:c16="http://schemas.microsoft.com/office/drawing/2014/chart" uri="{C3380CC4-5D6E-409C-BE32-E72D297353CC}">
                <c16:uniqueId val="{0000000D-8D82-41EF-9A1F-EC699FC93931}"/>
              </c:ext>
            </c:extLst>
          </c:dPt>
          <c:dPt>
            <c:idx val="8"/>
            <c:invertIfNegative val="0"/>
            <c:bubble3D val="0"/>
            <c:spPr>
              <a:solidFill>
                <a:schemeClr val="accent4"/>
              </a:solidFill>
              <a:ln>
                <a:noFill/>
              </a:ln>
              <a:effectLst/>
            </c:spPr>
            <c:extLst>
              <c:ext xmlns:c16="http://schemas.microsoft.com/office/drawing/2014/chart" uri="{C3380CC4-5D6E-409C-BE32-E72D297353CC}">
                <c16:uniqueId val="{0000000F-8D82-41EF-9A1F-EC699FC93931}"/>
              </c:ext>
            </c:extLst>
          </c:dPt>
          <c:dPt>
            <c:idx val="9"/>
            <c:invertIfNegative val="0"/>
            <c:bubble3D val="0"/>
            <c:spPr>
              <a:solidFill>
                <a:schemeClr val="accent6"/>
              </a:solidFill>
              <a:ln>
                <a:noFill/>
              </a:ln>
              <a:effectLst/>
            </c:spPr>
            <c:extLst>
              <c:ext xmlns:c16="http://schemas.microsoft.com/office/drawing/2014/chart" uri="{C3380CC4-5D6E-409C-BE32-E72D297353CC}">
                <c16:uniqueId val="{00000011-8D82-41EF-9A1F-EC699FC93931}"/>
              </c:ext>
            </c:extLst>
          </c:dPt>
          <c:dPt>
            <c:idx val="10"/>
            <c:invertIfNegative val="0"/>
            <c:bubble3D val="0"/>
            <c:spPr>
              <a:solidFill>
                <a:schemeClr val="accent2"/>
              </a:solidFill>
              <a:ln>
                <a:noFill/>
              </a:ln>
              <a:effectLst/>
            </c:spPr>
            <c:extLst>
              <c:ext xmlns:c16="http://schemas.microsoft.com/office/drawing/2014/chart" uri="{C3380CC4-5D6E-409C-BE32-E72D297353CC}">
                <c16:uniqueId val="{00000013-8D82-41EF-9A1F-EC699FC93931}"/>
              </c:ext>
            </c:extLst>
          </c:dPt>
          <c:dPt>
            <c:idx val="12"/>
            <c:invertIfNegative val="0"/>
            <c:bubble3D val="0"/>
            <c:spPr>
              <a:solidFill>
                <a:schemeClr val="tx2"/>
              </a:solidFill>
              <a:ln>
                <a:noFill/>
              </a:ln>
              <a:effectLst/>
            </c:spPr>
            <c:extLst>
              <c:ext xmlns:c16="http://schemas.microsoft.com/office/drawing/2014/chart" uri="{C3380CC4-5D6E-409C-BE32-E72D297353CC}">
                <c16:uniqueId val="{00000015-8D82-41EF-9A1F-EC699FC93931}"/>
              </c:ext>
            </c:extLst>
          </c:dPt>
          <c:dPt>
            <c:idx val="13"/>
            <c:invertIfNegative val="0"/>
            <c:bubble3D val="0"/>
            <c:spPr>
              <a:solidFill>
                <a:srgbClr val="7030A0"/>
              </a:solidFill>
              <a:ln>
                <a:noFill/>
              </a:ln>
              <a:effectLst/>
            </c:spPr>
            <c:extLst>
              <c:ext xmlns:c16="http://schemas.microsoft.com/office/drawing/2014/chart" uri="{C3380CC4-5D6E-409C-BE32-E72D297353CC}">
                <c16:uniqueId val="{00000017-8D82-41EF-9A1F-EC699FC93931}"/>
              </c:ext>
            </c:extLst>
          </c:dPt>
          <c:dPt>
            <c:idx val="14"/>
            <c:invertIfNegative val="0"/>
            <c:bubble3D val="0"/>
            <c:spPr>
              <a:solidFill>
                <a:schemeClr val="bg2"/>
              </a:solidFill>
              <a:ln>
                <a:noFill/>
              </a:ln>
              <a:effectLst/>
            </c:spPr>
            <c:extLst>
              <c:ext xmlns:c16="http://schemas.microsoft.com/office/drawing/2014/chart" uri="{C3380CC4-5D6E-409C-BE32-E72D297353CC}">
                <c16:uniqueId val="{00000019-8D82-41EF-9A1F-EC699FC93931}"/>
              </c:ext>
            </c:extLst>
          </c:dPt>
          <c:dPt>
            <c:idx val="15"/>
            <c:invertIfNegative val="0"/>
            <c:bubble3D val="0"/>
            <c:spPr>
              <a:solidFill>
                <a:srgbClr val="FF0000"/>
              </a:solidFill>
              <a:ln>
                <a:noFill/>
              </a:ln>
              <a:effectLst/>
            </c:spPr>
            <c:extLst>
              <c:ext xmlns:c16="http://schemas.microsoft.com/office/drawing/2014/chart" uri="{C3380CC4-5D6E-409C-BE32-E72D297353CC}">
                <c16:uniqueId val="{0000001B-8D82-41EF-9A1F-EC699FC93931}"/>
              </c:ext>
            </c:extLst>
          </c:dPt>
          <c:dPt>
            <c:idx val="16"/>
            <c:invertIfNegative val="0"/>
            <c:bubble3D val="0"/>
            <c:spPr>
              <a:solidFill>
                <a:schemeClr val="accent6"/>
              </a:solidFill>
              <a:ln>
                <a:noFill/>
              </a:ln>
              <a:effectLst/>
            </c:spPr>
            <c:extLst>
              <c:ext xmlns:c16="http://schemas.microsoft.com/office/drawing/2014/chart" uri="{C3380CC4-5D6E-409C-BE32-E72D297353CC}">
                <c16:uniqueId val="{0000001D-8D82-41EF-9A1F-EC699FC93931}"/>
              </c:ext>
            </c:extLst>
          </c:dPt>
          <c:dPt>
            <c:idx val="18"/>
            <c:invertIfNegative val="0"/>
            <c:bubble3D val="0"/>
            <c:spPr>
              <a:solidFill>
                <a:schemeClr val="accent4"/>
              </a:solidFill>
              <a:ln>
                <a:noFill/>
              </a:ln>
              <a:effectLst/>
            </c:spPr>
            <c:extLst>
              <c:ext xmlns:c16="http://schemas.microsoft.com/office/drawing/2014/chart" uri="{C3380CC4-5D6E-409C-BE32-E72D297353CC}">
                <c16:uniqueId val="{0000001F-8D82-41EF-9A1F-EC699FC93931}"/>
              </c:ext>
            </c:extLst>
          </c:dPt>
          <c:dPt>
            <c:idx val="19"/>
            <c:invertIfNegative val="0"/>
            <c:bubble3D val="0"/>
            <c:spPr>
              <a:solidFill>
                <a:schemeClr val="tx2"/>
              </a:solidFill>
              <a:ln>
                <a:noFill/>
              </a:ln>
              <a:effectLst/>
            </c:spPr>
            <c:extLst>
              <c:ext xmlns:c16="http://schemas.microsoft.com/office/drawing/2014/chart" uri="{C3380CC4-5D6E-409C-BE32-E72D297353CC}">
                <c16:uniqueId val="{00000021-8D82-41EF-9A1F-EC699FC93931}"/>
              </c:ext>
            </c:extLst>
          </c:dPt>
          <c:dPt>
            <c:idx val="20"/>
            <c:invertIfNegative val="0"/>
            <c:bubble3D val="0"/>
            <c:spPr>
              <a:solidFill>
                <a:srgbClr val="FF0000"/>
              </a:solidFill>
              <a:ln>
                <a:noFill/>
              </a:ln>
              <a:effectLst/>
            </c:spPr>
            <c:extLst>
              <c:ext xmlns:c16="http://schemas.microsoft.com/office/drawing/2014/chart" uri="{C3380CC4-5D6E-409C-BE32-E72D297353CC}">
                <c16:uniqueId val="{00000023-8D82-41EF-9A1F-EC699FC93931}"/>
              </c:ext>
            </c:extLst>
          </c:dPt>
          <c:dPt>
            <c:idx val="21"/>
            <c:invertIfNegative val="0"/>
            <c:bubble3D val="0"/>
            <c:spPr>
              <a:solidFill>
                <a:srgbClr val="7030A0"/>
              </a:solidFill>
              <a:ln>
                <a:noFill/>
              </a:ln>
              <a:effectLst/>
            </c:spPr>
            <c:extLst>
              <c:ext xmlns:c16="http://schemas.microsoft.com/office/drawing/2014/chart" uri="{C3380CC4-5D6E-409C-BE32-E72D297353CC}">
                <c16:uniqueId val="{00000025-8D82-41EF-9A1F-EC699FC93931}"/>
              </c:ext>
            </c:extLst>
          </c:dPt>
          <c:dPt>
            <c:idx val="22"/>
            <c:invertIfNegative val="0"/>
            <c:bubble3D val="0"/>
            <c:spPr>
              <a:solidFill>
                <a:schemeClr val="accent4"/>
              </a:solidFill>
              <a:ln>
                <a:noFill/>
              </a:ln>
              <a:effectLst/>
            </c:spPr>
            <c:extLst>
              <c:ext xmlns:c16="http://schemas.microsoft.com/office/drawing/2014/chart" uri="{C3380CC4-5D6E-409C-BE32-E72D297353CC}">
                <c16:uniqueId val="{00000027-8D82-41EF-9A1F-EC699FC93931}"/>
              </c:ext>
            </c:extLst>
          </c:dPt>
          <c:dPt>
            <c:idx val="23"/>
            <c:invertIfNegative val="0"/>
            <c:bubble3D val="0"/>
            <c:spPr>
              <a:solidFill>
                <a:srgbClr val="7030A0"/>
              </a:solidFill>
              <a:ln>
                <a:noFill/>
              </a:ln>
              <a:effectLst/>
            </c:spPr>
            <c:extLst>
              <c:ext xmlns:c16="http://schemas.microsoft.com/office/drawing/2014/chart" uri="{C3380CC4-5D6E-409C-BE32-E72D297353CC}">
                <c16:uniqueId val="{00000029-8D82-41EF-9A1F-EC699FC93931}"/>
              </c:ext>
            </c:extLst>
          </c:dPt>
          <c:cat>
            <c:strRef>
              <c:f>'Per capita emissions, percentil'!$A$2:$A$25</c:f>
              <c:strCache>
                <c:ptCount val="24"/>
                <c:pt idx="0">
                  <c:v>North America, Top 10%</c:v>
                </c:pt>
                <c:pt idx="1">
                  <c:v>East Asia, Top 10%</c:v>
                </c:pt>
                <c:pt idx="2">
                  <c:v>Russia and Central Asia, Top 10%</c:v>
                </c:pt>
                <c:pt idx="3">
                  <c:v>MENA, Top 10%</c:v>
                </c:pt>
                <c:pt idx="4">
                  <c:v>Europe, Top 10%</c:v>
                </c:pt>
                <c:pt idx="5">
                  <c:v>North America, Middle 40%</c:v>
                </c:pt>
                <c:pt idx="6">
                  <c:v>Latin America, Top 10%</c:v>
                </c:pt>
                <c:pt idx="7">
                  <c:v>Europe, Middle 40%</c:v>
                </c:pt>
                <c:pt idx="8">
                  <c:v>South &amp; South-east Asia, Top 10%</c:v>
                </c:pt>
                <c:pt idx="9">
                  <c:v>Russia and Central Asia, Middle 40%</c:v>
                </c:pt>
                <c:pt idx="10">
                  <c:v>North America, Bottom 50%</c:v>
                </c:pt>
                <c:pt idx="11">
                  <c:v>East Asia, Middle 40%</c:v>
                </c:pt>
                <c:pt idx="12">
                  <c:v>MENA, Middle 40%</c:v>
                </c:pt>
                <c:pt idx="13">
                  <c:v>Sub-Saharan Africa, Top 10%</c:v>
                </c:pt>
                <c:pt idx="14">
                  <c:v>Europe, Bottom 50%</c:v>
                </c:pt>
                <c:pt idx="15">
                  <c:v>Latin America, Middle 40%</c:v>
                </c:pt>
                <c:pt idx="16">
                  <c:v>Russia and Central Asia, Bottom 50%</c:v>
                </c:pt>
                <c:pt idx="17">
                  <c:v>East Asia, Bottom 50%</c:v>
                </c:pt>
                <c:pt idx="18">
                  <c:v>South &amp; South-east Asia, Middle 40%</c:v>
                </c:pt>
                <c:pt idx="19">
                  <c:v>MENA, Bottom 50%</c:v>
                </c:pt>
                <c:pt idx="20">
                  <c:v>Latin America, Bottom 50%</c:v>
                </c:pt>
                <c:pt idx="21">
                  <c:v>Sub-Saharan Africa, Middle 40%</c:v>
                </c:pt>
                <c:pt idx="22">
                  <c:v>South &amp; South-east Asia, Bottom 50%</c:v>
                </c:pt>
                <c:pt idx="23">
                  <c:v>Sub-Saharan Africa, Bottom 50%</c:v>
                </c:pt>
              </c:strCache>
            </c:strRef>
          </c:cat>
          <c:val>
            <c:numRef>
              <c:f>'Per capita emissions, percentil'!$B$2:$B$25</c:f>
              <c:numCache>
                <c:formatCode>General</c:formatCode>
                <c:ptCount val="24"/>
                <c:pt idx="0">
                  <c:v>73</c:v>
                </c:pt>
                <c:pt idx="1">
                  <c:v>38.9</c:v>
                </c:pt>
                <c:pt idx="2">
                  <c:v>35.1</c:v>
                </c:pt>
                <c:pt idx="3">
                  <c:v>33.6</c:v>
                </c:pt>
                <c:pt idx="4">
                  <c:v>29.2</c:v>
                </c:pt>
                <c:pt idx="5">
                  <c:v>21.7</c:v>
                </c:pt>
                <c:pt idx="6">
                  <c:v>19.2</c:v>
                </c:pt>
                <c:pt idx="7">
                  <c:v>10.6</c:v>
                </c:pt>
                <c:pt idx="8">
                  <c:v>10.6</c:v>
                </c:pt>
                <c:pt idx="9">
                  <c:v>10.199999999999999</c:v>
                </c:pt>
                <c:pt idx="10">
                  <c:v>9.6999999999999993</c:v>
                </c:pt>
                <c:pt idx="11">
                  <c:v>7.9</c:v>
                </c:pt>
                <c:pt idx="12">
                  <c:v>7.3</c:v>
                </c:pt>
                <c:pt idx="13">
                  <c:v>7.3</c:v>
                </c:pt>
                <c:pt idx="14">
                  <c:v>5.0999999999999996</c:v>
                </c:pt>
                <c:pt idx="15">
                  <c:v>4.7</c:v>
                </c:pt>
                <c:pt idx="16">
                  <c:v>4.5999999999999996</c:v>
                </c:pt>
                <c:pt idx="17">
                  <c:v>3.1</c:v>
                </c:pt>
                <c:pt idx="18">
                  <c:v>2.5</c:v>
                </c:pt>
                <c:pt idx="19">
                  <c:v>2.2999999999999998</c:v>
                </c:pt>
                <c:pt idx="20">
                  <c:v>2</c:v>
                </c:pt>
                <c:pt idx="21">
                  <c:v>1.7</c:v>
                </c:pt>
                <c:pt idx="22">
                  <c:v>1</c:v>
                </c:pt>
                <c:pt idx="23">
                  <c:v>0.5</c:v>
                </c:pt>
              </c:numCache>
            </c:numRef>
          </c:val>
          <c:extLst>
            <c:ext xmlns:c16="http://schemas.microsoft.com/office/drawing/2014/chart" uri="{C3380CC4-5D6E-409C-BE32-E72D297353CC}">
              <c16:uniqueId val="{0000002A-8D82-41EF-9A1F-EC699FC93931}"/>
            </c:ext>
          </c:extLst>
        </c:ser>
        <c:dLbls>
          <c:showLegendKey val="0"/>
          <c:showVal val="0"/>
          <c:showCatName val="0"/>
          <c:showSerName val="0"/>
          <c:showPercent val="0"/>
          <c:showBubbleSize val="0"/>
        </c:dLbls>
        <c:gapWidth val="219"/>
        <c:overlap val="-27"/>
        <c:axId val="2107148960"/>
        <c:axId val="2107146464"/>
      </c:barChart>
      <c:catAx>
        <c:axId val="21071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107146464"/>
        <c:crosses val="autoZero"/>
        <c:auto val="1"/>
        <c:lblAlgn val="ctr"/>
        <c:lblOffset val="100"/>
        <c:noMultiLvlLbl val="0"/>
      </c:catAx>
      <c:valAx>
        <c:axId val="210714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r>
                  <a:rPr lang="en-GB" sz="900"/>
                  <a:t>Carbon emissions (Tonnes CO2e)</a:t>
                </a:r>
              </a:p>
            </c:rich>
          </c:tx>
          <c:layout>
            <c:manualLayout>
              <c:xMode val="edge"/>
              <c:yMode val="edge"/>
              <c:x val="5.0705467372134036E-2"/>
              <c:y val="5.3095091767274505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210714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7520</Words>
  <Characters>42869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Singh Bhopal</dc:creator>
  <cp:keywords/>
  <dc:description/>
  <cp:lastModifiedBy>Anand Singh Bhopal</cp:lastModifiedBy>
  <cp:revision>4</cp:revision>
  <dcterms:created xsi:type="dcterms:W3CDTF">2023-01-18T11:34:00Z</dcterms:created>
  <dcterms:modified xsi:type="dcterms:W3CDTF">2023-01-18T11:37:00Z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zotero-version="5.0.6"&gt;&lt;session id="pwVfnTuE"/&gt;&lt;style id="http://www.zotero.org/styles/vancouver" locale="en-US" hasBibliography="1" bibliographyStyleHasBeenSet="1"/&gt;&lt;prefs&gt;&lt;pref name="fieldType" value="Field"/&gt;&lt;pref name="automatic</vt:lpwstr>
  </property>
  <property fmtid="{D5CDD505-2E9C-101B-9397-08002B2CF9AE}" pid="3" name="ZOTERO_PREF_2">
    <vt:lpwstr>JournalAbbreviations" value="true"/&gt;&lt;pref name="noteType" value="0"/&gt;&lt;/prefs&gt;&lt;/data&gt;</vt:lpwstr>
  </property>
</Properties>
</file>